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4B98" w14:textId="0CAB8C08" w:rsidR="00536AE5" w:rsidRDefault="00536AE5">
      <w:pPr>
        <w:rPr>
          <w:lang w:val="en-US"/>
        </w:rPr>
      </w:pPr>
      <w:r>
        <w:rPr>
          <w:noProof/>
          <w:lang w:val="en-US"/>
        </w:rPr>
        <w:drawing>
          <wp:inline distT="0" distB="0" distL="0" distR="0" wp14:anchorId="2C27D291" wp14:editId="3810C554">
            <wp:extent cx="5731510" cy="955040"/>
            <wp:effectExtent l="0" t="0" r="254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13CA5197" w14:textId="77777777" w:rsidR="00B63EB8" w:rsidRDefault="00B63EB8">
      <w:pPr>
        <w:rPr>
          <w:lang w:val="en-US"/>
        </w:rPr>
      </w:pPr>
    </w:p>
    <w:p w14:paraId="5B278EAA" w14:textId="77777777" w:rsidR="00A173F6" w:rsidRPr="00A173F6" w:rsidRDefault="00A173F6" w:rsidP="00A173F6">
      <w:pPr>
        <w:rPr>
          <w:lang w:val="de-DE"/>
        </w:rPr>
      </w:pPr>
      <w:r w:rsidRPr="00A173F6">
        <w:rPr>
          <w:lang w:val="de-DE"/>
        </w:rPr>
        <w:t>Guten Morgen zusammen,</w:t>
      </w:r>
    </w:p>
    <w:p w14:paraId="1798F6C9" w14:textId="77777777" w:rsidR="00A173F6" w:rsidRPr="00A173F6" w:rsidRDefault="00A173F6" w:rsidP="00A173F6">
      <w:pPr>
        <w:rPr>
          <w:lang w:val="de-DE"/>
        </w:rPr>
      </w:pPr>
    </w:p>
    <w:p w14:paraId="62404D7E" w14:textId="77777777" w:rsidR="00A173F6" w:rsidRPr="00A173F6" w:rsidRDefault="00A173F6" w:rsidP="00A173F6">
      <w:pPr>
        <w:rPr>
          <w:lang w:val="de-DE"/>
        </w:rPr>
      </w:pPr>
      <w:r w:rsidRPr="00A173F6">
        <w:rPr>
          <w:lang w:val="de-DE"/>
        </w:rPr>
        <w:t>Vielen Dank für Ihr zahlreiches Erscheinen und vor allem ein herzliches Willkommen auf der Brüsseler Möbelmesse!</w:t>
      </w:r>
    </w:p>
    <w:p w14:paraId="57E9B7C2" w14:textId="77777777" w:rsidR="00A173F6" w:rsidRPr="00A173F6" w:rsidRDefault="00A173F6" w:rsidP="00A173F6">
      <w:pPr>
        <w:rPr>
          <w:lang w:val="de-DE"/>
        </w:rPr>
      </w:pPr>
      <w:r w:rsidRPr="00A173F6">
        <w:rPr>
          <w:lang w:val="de-DE"/>
        </w:rPr>
        <w:t>Es ist das erste Mal, dass mein Kollege Thomas Hibert und ich die Ehre haben, diese Pressekonferenz zu leiten. In der nächsten halben Stunde werden wir Ihnen einige Zahlen und Informationen über die Messe 2022 geben sowie einen Hinweis auf unsere Zukunftspläne und die Richtung, die wir einschlagen wollen. Anschließend werden wir Ihnen natürlich die Möglichkeit geben, Fragen zu stellen.</w:t>
      </w:r>
    </w:p>
    <w:p w14:paraId="1AEE8C09" w14:textId="61D8706C" w:rsidR="00536AE5" w:rsidRPr="00A173F6" w:rsidRDefault="00A173F6" w:rsidP="00A173F6">
      <w:pPr>
        <w:rPr>
          <w:lang w:val="de-DE"/>
        </w:rPr>
      </w:pPr>
      <w:r w:rsidRPr="00A173F6">
        <w:rPr>
          <w:lang w:val="de-DE"/>
        </w:rPr>
        <w:t xml:space="preserve">Wir beginnen jedoch mit einer wirtschaftlichen Betrachtung der belgischen Möbelindustrie, die von Filip De </w:t>
      </w:r>
      <w:proofErr w:type="spellStart"/>
      <w:r w:rsidRPr="00A173F6">
        <w:rPr>
          <w:lang w:val="de-DE"/>
        </w:rPr>
        <w:t>Jaegher</w:t>
      </w:r>
      <w:proofErr w:type="spellEnd"/>
      <w:r w:rsidRPr="00A173F6">
        <w:rPr>
          <w:lang w:val="de-DE"/>
        </w:rPr>
        <w:t xml:space="preserve">, Generaldirektor von </w:t>
      </w:r>
      <w:proofErr w:type="spellStart"/>
      <w:r w:rsidRPr="00A173F6">
        <w:rPr>
          <w:lang w:val="de-DE"/>
        </w:rPr>
        <w:t>Fedustria</w:t>
      </w:r>
      <w:proofErr w:type="spellEnd"/>
      <w:r w:rsidRPr="00A173F6">
        <w:rPr>
          <w:lang w:val="de-DE"/>
        </w:rPr>
        <w:t>, vorgestellt wird.</w:t>
      </w:r>
      <w:r w:rsidR="00536AE5" w:rsidRPr="00A173F6">
        <w:rPr>
          <w:lang w:val="de-DE"/>
        </w:rPr>
        <w:br w:type="page"/>
      </w:r>
    </w:p>
    <w:p w14:paraId="3F2A0642" w14:textId="6B371F1A" w:rsidR="00A173F6" w:rsidRPr="00A173F6" w:rsidRDefault="00A173F6" w:rsidP="00A173F6">
      <w:pPr>
        <w:pBdr>
          <w:top w:val="single" w:sz="4" w:space="1" w:color="auto"/>
          <w:left w:val="single" w:sz="4" w:space="1" w:color="auto"/>
          <w:bottom w:val="single" w:sz="4" w:space="1" w:color="auto"/>
          <w:right w:val="single" w:sz="4" w:space="1" w:color="auto"/>
        </w:pBdr>
        <w:jc w:val="center"/>
        <w:rPr>
          <w:rFonts w:eastAsiaTheme="majorEastAsia" w:cstheme="minorHAnsi"/>
          <w:b/>
          <w:iCs/>
          <w:noProof/>
          <w:sz w:val="36"/>
          <w:szCs w:val="36"/>
          <w:lang w:val="de-DE" w:eastAsia="nl-NL"/>
        </w:rPr>
      </w:pPr>
      <w:r w:rsidRPr="00A173F6">
        <w:rPr>
          <w:rFonts w:eastAsiaTheme="majorEastAsia" w:cstheme="minorHAnsi"/>
          <w:b/>
          <w:iCs/>
          <w:noProof/>
          <w:sz w:val="36"/>
          <w:szCs w:val="36"/>
          <w:lang w:val="de-DE" w:eastAsia="nl-NL"/>
        </w:rPr>
        <w:lastRenderedPageBreak/>
        <w:t>Die belgische Möbelindustrie im Jahr 2022:</w:t>
      </w:r>
    </w:p>
    <w:p w14:paraId="0F414B5B" w14:textId="77777777" w:rsidR="00A173F6" w:rsidRDefault="00A173F6" w:rsidP="00A173F6">
      <w:pPr>
        <w:pBdr>
          <w:top w:val="single" w:sz="4" w:space="1" w:color="auto"/>
          <w:left w:val="single" w:sz="4" w:space="1" w:color="auto"/>
          <w:bottom w:val="single" w:sz="4" w:space="1" w:color="auto"/>
          <w:right w:val="single" w:sz="4" w:space="1" w:color="auto"/>
        </w:pBdr>
        <w:jc w:val="center"/>
        <w:rPr>
          <w:lang w:val="de-DE"/>
        </w:rPr>
      </w:pPr>
      <w:r>
        <w:rPr>
          <w:rFonts w:ascii="Calibri" w:hAnsi="Calibri"/>
          <w:b/>
          <w:bCs/>
          <w:sz w:val="36"/>
          <w:szCs w:val="36"/>
          <w:lang w:val="de-DE"/>
        </w:rPr>
        <w:t>Steigende Kosten setzen die Wettbewerbsfähigkeit und die Gewinnspannen unter Druck</w:t>
      </w:r>
    </w:p>
    <w:p w14:paraId="539D2512" w14:textId="77777777" w:rsidR="00D16ED2" w:rsidRPr="00A173F6" w:rsidRDefault="00D16ED2" w:rsidP="00D16ED2">
      <w:pPr>
        <w:rPr>
          <w:rFonts w:cstheme="minorHAnsi"/>
          <w:lang w:val="de-DE"/>
        </w:rPr>
      </w:pPr>
    </w:p>
    <w:p w14:paraId="0A7F862A" w14:textId="77777777" w:rsidR="00A173F6" w:rsidRDefault="00A173F6" w:rsidP="00A173F6">
      <w:pPr>
        <w:rPr>
          <w:rFonts w:cstheme="minorHAnsi"/>
          <w:b/>
          <w:u w:val="single"/>
          <w:lang w:val="de-DE"/>
        </w:rPr>
      </w:pPr>
      <w:r>
        <w:rPr>
          <w:rFonts w:ascii="Calibri" w:hAnsi="Calibri" w:cstheme="minorHAnsi"/>
          <w:b/>
          <w:bCs/>
          <w:u w:val="single"/>
          <w:lang w:val="de-DE"/>
        </w:rPr>
        <w:t>Die belgische Möbelindustrie</w:t>
      </w:r>
    </w:p>
    <w:p w14:paraId="594AA804" w14:textId="77777777" w:rsidR="00A173F6" w:rsidRDefault="00A173F6" w:rsidP="00A173F6">
      <w:pPr>
        <w:rPr>
          <w:rFonts w:cstheme="minorHAnsi"/>
          <w:lang w:val="de-DE"/>
        </w:rPr>
      </w:pPr>
    </w:p>
    <w:p w14:paraId="201C791D" w14:textId="77777777" w:rsidR="00A173F6" w:rsidRDefault="00A173F6" w:rsidP="00A173F6">
      <w:pPr>
        <w:pBdr>
          <w:top w:val="single" w:sz="4" w:space="1" w:color="auto"/>
          <w:left w:val="single" w:sz="4" w:space="4" w:color="auto"/>
          <w:bottom w:val="single" w:sz="4" w:space="1" w:color="auto"/>
          <w:right w:val="single" w:sz="4" w:space="4" w:color="auto"/>
        </w:pBdr>
        <w:rPr>
          <w:rFonts w:cstheme="minorHAnsi"/>
          <w:sz w:val="10"/>
          <w:szCs w:val="10"/>
          <w:lang w:val="de-DE"/>
        </w:rPr>
      </w:pPr>
    </w:p>
    <w:p w14:paraId="7F5F05A7" w14:textId="77777777" w:rsidR="00A173F6" w:rsidRDefault="00A173F6" w:rsidP="00A173F6">
      <w:pPr>
        <w:pBdr>
          <w:top w:val="single" w:sz="4" w:space="1" w:color="auto"/>
          <w:left w:val="single" w:sz="4" w:space="4" w:color="auto"/>
          <w:bottom w:val="single" w:sz="4" w:space="1" w:color="auto"/>
          <w:right w:val="single" w:sz="4" w:space="4" w:color="auto"/>
        </w:pBdr>
        <w:rPr>
          <w:rFonts w:cstheme="minorHAnsi"/>
          <w:b/>
          <w:lang w:val="de-DE"/>
        </w:rPr>
      </w:pPr>
      <w:r>
        <w:rPr>
          <w:rFonts w:ascii="Calibri" w:hAnsi="Calibri" w:cstheme="minorHAnsi"/>
          <w:b/>
          <w:bCs/>
          <w:lang w:val="de-DE"/>
        </w:rPr>
        <w:t>Kernzahlen (2021)</w:t>
      </w:r>
    </w:p>
    <w:p w14:paraId="7B68D9BD" w14:textId="77777777" w:rsidR="00A173F6" w:rsidRDefault="00A173F6" w:rsidP="00A173F6">
      <w:pPr>
        <w:pBdr>
          <w:top w:val="single" w:sz="4" w:space="1" w:color="auto"/>
          <w:left w:val="single" w:sz="4" w:space="4" w:color="auto"/>
          <w:bottom w:val="single" w:sz="4" w:space="1" w:color="auto"/>
          <w:right w:val="single" w:sz="4" w:space="4" w:color="auto"/>
        </w:pBdr>
        <w:rPr>
          <w:rFonts w:cstheme="minorHAnsi"/>
          <w:b/>
          <w:sz w:val="14"/>
          <w:lang w:val="de-DE"/>
        </w:rPr>
      </w:pPr>
    </w:p>
    <w:p w14:paraId="00763474" w14:textId="77777777" w:rsidR="00A173F6" w:rsidRDefault="00A173F6" w:rsidP="00A173F6">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djustRightInd/>
        <w:ind w:left="284" w:hanging="284"/>
        <w:textAlignment w:val="auto"/>
        <w:rPr>
          <w:rFonts w:asciiTheme="minorHAnsi" w:hAnsiTheme="minorHAnsi" w:cstheme="minorHAnsi"/>
          <w:b/>
          <w:noProof w:val="0"/>
          <w:sz w:val="22"/>
          <w:szCs w:val="22"/>
          <w:lang w:val="de-DE"/>
        </w:rPr>
      </w:pPr>
      <w:r>
        <w:rPr>
          <w:rFonts w:ascii="Calibri" w:hAnsi="Calibri" w:cstheme="minorHAnsi"/>
          <w:b/>
          <w:bCs/>
          <w:noProof w:val="0"/>
          <w:sz w:val="22"/>
          <w:szCs w:val="22"/>
          <w:lang w:val="de-DE"/>
        </w:rPr>
        <w:t>719 Unternehmen</w:t>
      </w:r>
    </w:p>
    <w:p w14:paraId="51C7054E" w14:textId="77777777" w:rsidR="00A173F6" w:rsidRDefault="00A173F6" w:rsidP="00A173F6">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djustRightInd/>
        <w:ind w:left="284" w:hanging="284"/>
        <w:textAlignment w:val="auto"/>
        <w:rPr>
          <w:rFonts w:asciiTheme="minorHAnsi" w:hAnsiTheme="minorHAnsi" w:cstheme="minorHAnsi"/>
          <w:b/>
          <w:noProof w:val="0"/>
          <w:sz w:val="22"/>
          <w:szCs w:val="22"/>
          <w:lang w:val="de-DE"/>
        </w:rPr>
      </w:pPr>
      <w:r>
        <w:rPr>
          <w:rFonts w:ascii="Calibri" w:hAnsi="Calibri" w:cstheme="minorHAnsi"/>
          <w:b/>
          <w:bCs/>
          <w:noProof w:val="0"/>
          <w:sz w:val="22"/>
          <w:szCs w:val="22"/>
          <w:lang w:val="de-DE"/>
        </w:rPr>
        <w:t>9.824 Arbeitnehmer</w:t>
      </w:r>
    </w:p>
    <w:p w14:paraId="5B235FE5" w14:textId="77777777" w:rsidR="00A173F6" w:rsidRDefault="00A173F6" w:rsidP="00A173F6">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djustRightInd/>
        <w:ind w:left="284" w:hanging="284"/>
        <w:textAlignment w:val="auto"/>
        <w:rPr>
          <w:rFonts w:asciiTheme="minorHAnsi" w:hAnsiTheme="minorHAnsi" w:cstheme="minorHAnsi"/>
          <w:b/>
          <w:noProof w:val="0"/>
          <w:sz w:val="22"/>
          <w:szCs w:val="22"/>
          <w:lang w:val="de-DE"/>
        </w:rPr>
      </w:pPr>
      <w:r>
        <w:rPr>
          <w:rFonts w:ascii="Calibri" w:hAnsi="Calibri" w:cstheme="minorHAnsi"/>
          <w:b/>
          <w:bCs/>
          <w:noProof w:val="0"/>
          <w:sz w:val="22"/>
          <w:szCs w:val="22"/>
          <w:lang w:val="de-DE"/>
        </w:rPr>
        <w:t>Umsatz: 2,27 Milliarden Euro</w:t>
      </w:r>
    </w:p>
    <w:p w14:paraId="7722C255" w14:textId="77777777" w:rsidR="00A173F6" w:rsidRDefault="00A173F6" w:rsidP="00A173F6">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djustRightInd/>
        <w:ind w:left="284" w:hanging="284"/>
        <w:textAlignment w:val="auto"/>
        <w:rPr>
          <w:rFonts w:asciiTheme="minorHAnsi" w:hAnsiTheme="minorHAnsi" w:cstheme="minorHAnsi"/>
          <w:b/>
          <w:noProof w:val="0"/>
          <w:sz w:val="22"/>
          <w:szCs w:val="22"/>
          <w:lang w:val="de-DE"/>
        </w:rPr>
      </w:pPr>
      <w:r>
        <w:rPr>
          <w:rFonts w:ascii="Calibri" w:hAnsi="Calibri" w:cstheme="minorHAnsi"/>
          <w:b/>
          <w:bCs/>
          <w:noProof w:val="0"/>
          <w:sz w:val="22"/>
          <w:szCs w:val="22"/>
          <w:lang w:val="de-DE"/>
        </w:rPr>
        <w:t>Exportanteil: 57%</w:t>
      </w:r>
    </w:p>
    <w:p w14:paraId="0B863789" w14:textId="77777777" w:rsidR="00A173F6" w:rsidRDefault="00A173F6" w:rsidP="00A173F6">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djustRightInd/>
        <w:ind w:left="284" w:hanging="284"/>
        <w:textAlignment w:val="auto"/>
        <w:rPr>
          <w:rFonts w:asciiTheme="minorHAnsi" w:hAnsiTheme="minorHAnsi" w:cstheme="minorHAnsi"/>
          <w:b/>
          <w:noProof w:val="0"/>
          <w:sz w:val="22"/>
          <w:szCs w:val="22"/>
          <w:lang w:val="de-DE"/>
        </w:rPr>
      </w:pPr>
      <w:r>
        <w:rPr>
          <w:rFonts w:ascii="Calibri" w:hAnsi="Calibri" w:cstheme="minorHAnsi"/>
          <w:b/>
          <w:bCs/>
          <w:noProof w:val="0"/>
          <w:sz w:val="22"/>
          <w:szCs w:val="22"/>
          <w:lang w:val="de-DE"/>
        </w:rPr>
        <w:t>Anteil am Gesamtumsatz der belgischen Holz- und Möbelindustrie: 36%</w:t>
      </w:r>
    </w:p>
    <w:p w14:paraId="370D319A" w14:textId="77777777" w:rsidR="00A173F6" w:rsidRDefault="00A173F6" w:rsidP="00A173F6">
      <w:pPr>
        <w:pBdr>
          <w:top w:val="single" w:sz="4" w:space="1" w:color="auto"/>
          <w:left w:val="single" w:sz="4" w:space="4" w:color="auto"/>
          <w:bottom w:val="single" w:sz="4" w:space="1" w:color="auto"/>
          <w:right w:val="single" w:sz="4" w:space="4" w:color="auto"/>
        </w:pBdr>
        <w:rPr>
          <w:rFonts w:cstheme="minorHAnsi"/>
          <w:sz w:val="10"/>
          <w:szCs w:val="10"/>
          <w:lang w:val="de-DE"/>
        </w:rPr>
      </w:pPr>
    </w:p>
    <w:p w14:paraId="1034A894" w14:textId="77777777" w:rsidR="00A173F6" w:rsidRDefault="00A173F6" w:rsidP="00A173F6">
      <w:pPr>
        <w:tabs>
          <w:tab w:val="left" w:pos="-828"/>
          <w:tab w:val="left" w:pos="4253"/>
        </w:tabs>
        <w:suppressAutoHyphens/>
        <w:jc w:val="both"/>
        <w:rPr>
          <w:rFonts w:cstheme="minorHAnsi"/>
          <w:spacing w:val="-3"/>
          <w:lang w:val="de-DE"/>
        </w:rPr>
      </w:pPr>
    </w:p>
    <w:p w14:paraId="4F34021E" w14:textId="77777777" w:rsidR="00A173F6" w:rsidRDefault="00A173F6" w:rsidP="00A173F6">
      <w:pPr>
        <w:tabs>
          <w:tab w:val="left" w:pos="-828"/>
          <w:tab w:val="left" w:pos="4253"/>
        </w:tabs>
        <w:suppressAutoHyphens/>
        <w:jc w:val="both"/>
        <w:rPr>
          <w:rFonts w:cstheme="minorHAnsi"/>
          <w:b/>
          <w:spacing w:val="-3"/>
          <w:u w:val="single"/>
          <w:lang w:val="de-DE"/>
        </w:rPr>
      </w:pPr>
      <w:r>
        <w:rPr>
          <w:rFonts w:ascii="Calibri" w:hAnsi="Calibri" w:cstheme="minorHAnsi"/>
          <w:b/>
          <w:bCs/>
          <w:spacing w:val="-3"/>
          <w:u w:val="single"/>
          <w:lang w:val="de-DE"/>
        </w:rPr>
        <w:t>Zusammenfassung der Entwicklungen in der ersten Jahreshälfte 2022</w:t>
      </w:r>
    </w:p>
    <w:p w14:paraId="19421643" w14:textId="77777777" w:rsidR="00A173F6" w:rsidRDefault="00A173F6" w:rsidP="00A173F6">
      <w:pPr>
        <w:tabs>
          <w:tab w:val="left" w:pos="-828"/>
          <w:tab w:val="left" w:pos="4253"/>
        </w:tabs>
        <w:suppressAutoHyphens/>
        <w:jc w:val="both"/>
        <w:rPr>
          <w:rFonts w:cstheme="minorHAnsi"/>
          <w:spacing w:val="-3"/>
          <w:lang w:val="de-DE"/>
        </w:rPr>
      </w:pPr>
    </w:p>
    <w:p w14:paraId="175CC842" w14:textId="77777777" w:rsidR="00A173F6" w:rsidRDefault="00A173F6" w:rsidP="00A173F6">
      <w:pPr>
        <w:pStyle w:val="ListParagraph"/>
        <w:numPr>
          <w:ilvl w:val="0"/>
          <w:numId w:val="21"/>
        </w:numPr>
        <w:tabs>
          <w:tab w:val="left" w:pos="4253"/>
        </w:tabs>
        <w:suppressAutoHyphens/>
        <w:overflowPunct/>
        <w:autoSpaceDE/>
        <w:adjustRightInd/>
        <w:ind w:left="284" w:hanging="284"/>
        <w:jc w:val="both"/>
        <w:textAlignment w:val="auto"/>
        <w:rPr>
          <w:rFonts w:asciiTheme="minorHAnsi" w:hAnsiTheme="minorHAnsi" w:cstheme="minorBidi"/>
          <w:noProof w:val="0"/>
          <w:spacing w:val="-3"/>
          <w:sz w:val="22"/>
          <w:szCs w:val="22"/>
          <w:lang w:val="de-DE"/>
        </w:rPr>
      </w:pPr>
      <w:r>
        <w:rPr>
          <w:rFonts w:asciiTheme="minorHAnsi" w:hAnsiTheme="minorHAnsi" w:cstheme="minorBidi"/>
          <w:noProof w:val="0"/>
          <w:spacing w:val="-3"/>
          <w:sz w:val="22"/>
          <w:szCs w:val="22"/>
          <w:lang w:val="de-DE"/>
        </w:rPr>
        <w:t xml:space="preserve">Umsatz: 1.190,5 Millionen Euro, +2,9% im Vergleich zum ersten Halbjahr 2021. Reeller Volumenrückgang von 11% infolge einer Erhöhung der Absatzpreise um 15,7% </w:t>
      </w:r>
    </w:p>
    <w:p w14:paraId="5D7B3D21" w14:textId="77777777" w:rsidR="00A173F6" w:rsidRDefault="00A173F6" w:rsidP="00A173F6">
      <w:pPr>
        <w:pStyle w:val="ListParagraph"/>
        <w:numPr>
          <w:ilvl w:val="0"/>
          <w:numId w:val="21"/>
        </w:numPr>
        <w:tabs>
          <w:tab w:val="left" w:pos="-828"/>
          <w:tab w:val="left" w:pos="4253"/>
        </w:tabs>
        <w:suppressAutoHyphens/>
        <w:overflowPunct/>
        <w:autoSpaceDE/>
        <w:adjustRightInd/>
        <w:ind w:left="284" w:hanging="284"/>
        <w:jc w:val="both"/>
        <w:textAlignment w:val="auto"/>
        <w:rPr>
          <w:rFonts w:asciiTheme="minorHAnsi" w:hAnsiTheme="minorHAnsi" w:cstheme="minorHAnsi"/>
          <w:noProof w:val="0"/>
          <w:spacing w:val="-3"/>
          <w:sz w:val="22"/>
          <w:szCs w:val="22"/>
          <w:lang w:val="de-DE"/>
        </w:rPr>
      </w:pPr>
      <w:r>
        <w:rPr>
          <w:rFonts w:asciiTheme="minorHAnsi" w:hAnsiTheme="minorHAnsi" w:cstheme="minorHAnsi"/>
          <w:noProof w:val="0"/>
          <w:spacing w:val="-3"/>
          <w:sz w:val="22"/>
          <w:szCs w:val="22"/>
          <w:lang w:val="de-DE"/>
        </w:rPr>
        <w:t>Investitionen: 37,5 Millionen Euro (-1,3%)</w:t>
      </w:r>
    </w:p>
    <w:p w14:paraId="5BE4FAD2" w14:textId="77777777" w:rsidR="00A173F6" w:rsidRDefault="00A173F6" w:rsidP="00A173F6">
      <w:pPr>
        <w:pStyle w:val="ListParagraph"/>
        <w:numPr>
          <w:ilvl w:val="0"/>
          <w:numId w:val="21"/>
        </w:numPr>
        <w:tabs>
          <w:tab w:val="left" w:pos="-828"/>
          <w:tab w:val="left" w:pos="4253"/>
        </w:tabs>
        <w:suppressAutoHyphens/>
        <w:overflowPunct/>
        <w:autoSpaceDE/>
        <w:adjustRightInd/>
        <w:ind w:left="284" w:hanging="284"/>
        <w:jc w:val="both"/>
        <w:textAlignment w:val="auto"/>
        <w:rPr>
          <w:rFonts w:asciiTheme="minorHAnsi" w:hAnsiTheme="minorHAnsi" w:cstheme="minorHAnsi"/>
          <w:noProof w:val="0"/>
          <w:spacing w:val="-3"/>
          <w:sz w:val="22"/>
          <w:szCs w:val="22"/>
          <w:lang w:val="de-DE"/>
        </w:rPr>
      </w:pPr>
      <w:r>
        <w:rPr>
          <w:rFonts w:asciiTheme="minorHAnsi" w:hAnsiTheme="minorHAnsi" w:cstheme="minorHAnsi"/>
          <w:noProof w:val="0"/>
          <w:spacing w:val="-3"/>
          <w:sz w:val="22"/>
          <w:szCs w:val="22"/>
          <w:lang w:val="de-DE"/>
        </w:rPr>
        <w:t xml:space="preserve">Auslastungsgrad der Produktionskapazität: 86,2% </w:t>
      </w:r>
    </w:p>
    <w:p w14:paraId="7A773057" w14:textId="77777777" w:rsidR="00A173F6" w:rsidRDefault="00A173F6" w:rsidP="00A173F6">
      <w:pPr>
        <w:pStyle w:val="ListParagraph"/>
        <w:numPr>
          <w:ilvl w:val="0"/>
          <w:numId w:val="21"/>
        </w:numPr>
        <w:tabs>
          <w:tab w:val="left" w:pos="4253"/>
        </w:tabs>
        <w:suppressAutoHyphens/>
        <w:overflowPunct/>
        <w:autoSpaceDE/>
        <w:adjustRightInd/>
        <w:ind w:left="284" w:hanging="284"/>
        <w:jc w:val="both"/>
        <w:textAlignment w:val="auto"/>
        <w:rPr>
          <w:rFonts w:asciiTheme="minorHAnsi" w:hAnsiTheme="minorHAnsi" w:cstheme="minorBidi"/>
          <w:noProof w:val="0"/>
          <w:lang w:val="de-DE"/>
        </w:rPr>
      </w:pPr>
      <w:r>
        <w:rPr>
          <w:rFonts w:asciiTheme="minorHAnsi" w:hAnsiTheme="minorHAnsi" w:cstheme="minorBidi"/>
          <w:noProof w:val="0"/>
          <w:spacing w:val="-3"/>
          <w:sz w:val="22"/>
          <w:szCs w:val="22"/>
          <w:lang w:val="de-DE"/>
        </w:rPr>
        <w:t>Export: +1,0% im Vergleich zum selben Zeitraum im Jahr 2021. Frankreich, die Niederlande und Deutschland bleiben die wichtigsten Absatzmärkte.</w:t>
      </w:r>
    </w:p>
    <w:p w14:paraId="49866294" w14:textId="77777777" w:rsidR="00A173F6" w:rsidRDefault="00A173F6" w:rsidP="00A173F6">
      <w:pPr>
        <w:pStyle w:val="ListParagraph"/>
        <w:numPr>
          <w:ilvl w:val="0"/>
          <w:numId w:val="21"/>
        </w:numPr>
        <w:tabs>
          <w:tab w:val="left" w:pos="4253"/>
        </w:tabs>
        <w:suppressAutoHyphens/>
        <w:overflowPunct/>
        <w:autoSpaceDE/>
        <w:adjustRightInd/>
        <w:ind w:left="284" w:hanging="284"/>
        <w:jc w:val="both"/>
        <w:textAlignment w:val="auto"/>
        <w:rPr>
          <w:rFonts w:asciiTheme="minorHAnsi" w:hAnsiTheme="minorHAnsi" w:cstheme="minorBidi"/>
          <w:noProof w:val="0"/>
          <w:lang w:val="de-DE"/>
        </w:rPr>
      </w:pPr>
      <w:r>
        <w:rPr>
          <w:rFonts w:asciiTheme="minorHAnsi" w:hAnsiTheme="minorHAnsi" w:cstheme="minorBidi"/>
          <w:noProof w:val="0"/>
          <w:spacing w:val="-3"/>
          <w:sz w:val="22"/>
          <w:szCs w:val="22"/>
          <w:lang w:val="de-DE"/>
        </w:rPr>
        <w:t>Import: -5,2% im Vergleich zum selben Zeitraum im Jahr 2021</w:t>
      </w:r>
    </w:p>
    <w:p w14:paraId="387B322A" w14:textId="77777777" w:rsidR="00D16ED2" w:rsidRPr="00A173F6" w:rsidRDefault="00D16ED2" w:rsidP="00D16ED2">
      <w:pPr>
        <w:jc w:val="both"/>
        <w:rPr>
          <w:rFonts w:cstheme="minorHAnsi"/>
          <w:b/>
          <w:bCs/>
          <w:u w:val="single"/>
          <w:lang w:val="de-DE"/>
        </w:rPr>
      </w:pPr>
    </w:p>
    <w:p w14:paraId="158C81A4" w14:textId="77777777" w:rsidR="00A173F6" w:rsidRDefault="00A173F6" w:rsidP="00A173F6">
      <w:pPr>
        <w:jc w:val="both"/>
        <w:rPr>
          <w:rFonts w:cstheme="minorHAnsi"/>
          <w:b/>
          <w:bCs/>
          <w:u w:val="single"/>
          <w:lang w:val="de-DE"/>
        </w:rPr>
      </w:pPr>
      <w:r>
        <w:rPr>
          <w:rFonts w:ascii="Calibri" w:hAnsi="Calibri" w:cstheme="minorHAnsi"/>
          <w:b/>
          <w:bCs/>
          <w:u w:val="single"/>
          <w:lang w:val="de-DE"/>
        </w:rPr>
        <w:t>Allgemeiner Kontext</w:t>
      </w:r>
    </w:p>
    <w:p w14:paraId="4A56240E" w14:textId="77777777" w:rsidR="00A173F6" w:rsidRDefault="00A173F6" w:rsidP="00A173F6">
      <w:pPr>
        <w:jc w:val="both"/>
        <w:rPr>
          <w:rFonts w:cstheme="minorHAnsi"/>
          <w:bCs/>
          <w:lang w:val="de-DE"/>
        </w:rPr>
      </w:pPr>
    </w:p>
    <w:p w14:paraId="65B1FEC1" w14:textId="77777777" w:rsidR="00A173F6" w:rsidRDefault="00A173F6" w:rsidP="00A173F6">
      <w:pPr>
        <w:jc w:val="both"/>
        <w:rPr>
          <w:lang w:val="de-DE"/>
        </w:rPr>
      </w:pPr>
      <w:r>
        <w:rPr>
          <w:lang w:val="de-DE"/>
        </w:rPr>
        <w:t>Nach einem guten Jahr 2021 mit einer Umsatzsteigerung von knapp unter 10% begann die belgische Möbelindustrie das Jahr 2022 mit vorsichtigem Vertrauen. Hersteller berücksichtigten, dass es nach einer starken Nachfrage durch Investitionen in Interieur/Exterieur und Renovierungen von Wohnungen während der Coronakrise einen leichten Rückgang geben würde, wurden aber von der kräftigen Inflation, der Energiekrise und dem Einmarsch Russlands in die Ukraine Ende Februar überrascht.</w:t>
      </w:r>
    </w:p>
    <w:p w14:paraId="788731DD" w14:textId="77777777" w:rsidR="00A173F6" w:rsidRDefault="00A173F6" w:rsidP="00A173F6">
      <w:pPr>
        <w:jc w:val="both"/>
        <w:rPr>
          <w:rFonts w:cstheme="minorHAnsi"/>
          <w:bCs/>
          <w:lang w:val="de-DE"/>
        </w:rPr>
      </w:pPr>
    </w:p>
    <w:p w14:paraId="7590DFDF" w14:textId="77777777" w:rsidR="00A173F6" w:rsidRDefault="00A173F6" w:rsidP="00A173F6">
      <w:pPr>
        <w:jc w:val="both"/>
        <w:rPr>
          <w:lang w:val="de-DE"/>
        </w:rPr>
      </w:pPr>
      <w:r>
        <w:rPr>
          <w:lang w:val="de-DE"/>
        </w:rPr>
        <w:t xml:space="preserve">Diese Entwicklungen führten zu beispiellosen Preissteigerungen für nahezu alle Rohstoffe und Materialien, was erst wirklich zu einem freien Fall des Verbrauchervertrauens sorgte, und den Konsum nachhaltiger Investitionsgüter abbremste. Die Nachfrage nach Möbeln ist folglich seit dem zweiten </w:t>
      </w:r>
      <w:r>
        <w:rPr>
          <w:lang w:val="de-DE"/>
        </w:rPr>
        <w:lastRenderedPageBreak/>
        <w:t>Quartal dieses Jahres erheblich zurückgegangen, umso mehr weil Verbraucher ihr Familienbudget nach Corona erneut für ihre Freizeit (u.a. Gastronomie, Reisen,...) verwenden konnten oder das Geld angesichts des bevorstehenden Winters auch immer öfter für die Zahlung der hohen Energierechnungen benötigen.</w:t>
      </w:r>
    </w:p>
    <w:p w14:paraId="28ECDE33" w14:textId="77777777" w:rsidR="00D16ED2" w:rsidRPr="00A173F6" w:rsidRDefault="00D16ED2" w:rsidP="00D16ED2">
      <w:pPr>
        <w:jc w:val="both"/>
        <w:rPr>
          <w:lang w:val="de-DE"/>
        </w:rPr>
      </w:pPr>
    </w:p>
    <w:p w14:paraId="6C47DE6D" w14:textId="77777777" w:rsidR="00A173F6" w:rsidRDefault="00A173F6" w:rsidP="00A173F6">
      <w:pPr>
        <w:jc w:val="both"/>
        <w:rPr>
          <w:lang w:val="de-DE"/>
        </w:rPr>
      </w:pPr>
      <w:r>
        <w:rPr>
          <w:lang w:val="de-DE"/>
        </w:rPr>
        <w:t xml:space="preserve">Die Möbelbranche, und folglich die gesamte Fertigungsindustrie, befindet sich somit inmitten eines perfekten Sturms: Steigende Kosten für Energie, Rohstoffe und Personal (durch die aufeinanderfolgenden automatischen Lohnindexierungen) bei einer gleichzeitig rückläufigen Nachfrage setzen die Gewinnspannen und die Wettbewerbsfähigkeit erheblich unter Druck, und schaffen vor allem Unsicherheit darüber, was 2023 bringen wird. </w:t>
      </w:r>
    </w:p>
    <w:p w14:paraId="1E4F50C6" w14:textId="77777777" w:rsidR="00D16ED2" w:rsidRPr="00A173F6" w:rsidRDefault="00D16ED2" w:rsidP="00D16ED2">
      <w:pPr>
        <w:rPr>
          <w:rFonts w:cstheme="minorHAnsi"/>
          <w:bCs/>
          <w:lang w:val="de-DE"/>
        </w:rPr>
      </w:pPr>
    </w:p>
    <w:p w14:paraId="1AACAA74" w14:textId="77777777" w:rsidR="00A173F6" w:rsidRDefault="00A173F6" w:rsidP="00A173F6">
      <w:pPr>
        <w:pStyle w:val="BodyText"/>
        <w:rPr>
          <w:rFonts w:asciiTheme="minorHAnsi" w:hAnsiTheme="minorHAnsi" w:cstheme="minorBidi"/>
          <w:b/>
          <w:bCs/>
          <w:noProof w:val="0"/>
          <w:u w:val="single"/>
          <w:lang w:val="de-DE"/>
        </w:rPr>
      </w:pPr>
      <w:r>
        <w:rPr>
          <w:rFonts w:ascii="Calibri" w:hAnsi="Calibri" w:cstheme="minorBidi"/>
          <w:b/>
          <w:bCs/>
          <w:noProof w:val="0"/>
          <w:u w:val="single"/>
          <w:lang w:val="de-DE"/>
        </w:rPr>
        <w:t>Erstes Halbjahr 2022: Umsatzsteigerung im Hinblick auf den Wert, aber Rückgang im Hinblick auf das Volumen</w:t>
      </w:r>
    </w:p>
    <w:tbl>
      <w:tblPr>
        <w:tblW w:w="10455" w:type="dxa"/>
        <w:tblInd w:w="-572" w:type="dxa"/>
        <w:tblLayout w:type="fixed"/>
        <w:tblCellMar>
          <w:left w:w="70" w:type="dxa"/>
          <w:right w:w="70" w:type="dxa"/>
        </w:tblCellMar>
        <w:tblLook w:val="04A0" w:firstRow="1" w:lastRow="0" w:firstColumn="1" w:lastColumn="0" w:noHBand="0" w:noVBand="1"/>
      </w:tblPr>
      <w:tblGrid>
        <w:gridCol w:w="2837"/>
        <w:gridCol w:w="952"/>
        <w:gridCol w:w="952"/>
        <w:gridCol w:w="952"/>
        <w:gridCol w:w="953"/>
        <w:gridCol w:w="952"/>
        <w:gridCol w:w="952"/>
        <w:gridCol w:w="952"/>
        <w:gridCol w:w="953"/>
      </w:tblGrid>
      <w:tr w:rsidR="00A173F6" w14:paraId="3604CA89" w14:textId="77777777" w:rsidTr="00A173F6">
        <w:trPr>
          <w:trHeight w:val="420"/>
        </w:trPr>
        <w:tc>
          <w:tcPr>
            <w:tcW w:w="8548"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D13ECAB"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Umsatzentwicklung in der belgischen Möbelindustrie</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306B55BB"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Absatz-preise</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20C4B948"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Umsatz in Volumen</w:t>
            </w:r>
          </w:p>
        </w:tc>
      </w:tr>
      <w:tr w:rsidR="00A173F6" w14:paraId="4218C421" w14:textId="77777777" w:rsidTr="00A173F6">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0DAB944"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In Millionen EUR</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12025B32"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2020</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F713971"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2021</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35B5B1AB"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'21/'20</w:t>
            </w:r>
          </w:p>
        </w:tc>
        <w:tc>
          <w:tcPr>
            <w:tcW w:w="953" w:type="dxa"/>
            <w:tcBorders>
              <w:top w:val="single" w:sz="4" w:space="0" w:color="auto"/>
              <w:left w:val="nil"/>
              <w:bottom w:val="single" w:sz="4" w:space="0" w:color="auto"/>
              <w:right w:val="single" w:sz="4" w:space="0" w:color="auto"/>
            </w:tcBorders>
            <w:shd w:val="clear" w:color="auto" w:fill="FFC000"/>
            <w:noWrap/>
            <w:vAlign w:val="center"/>
            <w:hideMark/>
          </w:tcPr>
          <w:p w14:paraId="166DAC4A"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6 m 2021</w:t>
            </w:r>
            <w:r>
              <w:rPr>
                <w:rFonts w:ascii="Calibri" w:hAnsi="Calibri" w:cstheme="minorHAnsi"/>
                <w:bCs/>
                <w:color w:val="000000"/>
                <w:lang w:val="de-DE" w:eastAsia="nl-BE"/>
              </w:rPr>
              <w:t xml:space="preserve"> </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08774B15"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 xml:space="preserve">6 m 2022 </w:t>
            </w:r>
            <w:r>
              <w:rPr>
                <w:rFonts w:ascii="Calibri" w:hAnsi="Calibri" w:cstheme="minorHAnsi"/>
                <w:b/>
                <w:bCs/>
                <w:color w:val="000000"/>
                <w:vertAlign w:val="superscript"/>
                <w:lang w:val="de-DE" w:eastAsia="nl-BE"/>
              </w:rPr>
              <w:t>3</w:t>
            </w:r>
          </w:p>
        </w:tc>
        <w:tc>
          <w:tcPr>
            <w:tcW w:w="952" w:type="dxa"/>
            <w:tcBorders>
              <w:top w:val="single" w:sz="4" w:space="0" w:color="auto"/>
              <w:left w:val="nil"/>
              <w:bottom w:val="single" w:sz="4" w:space="0" w:color="auto"/>
              <w:right w:val="nil"/>
            </w:tcBorders>
            <w:shd w:val="clear" w:color="auto" w:fill="FFC000"/>
            <w:noWrap/>
            <w:vAlign w:val="center"/>
            <w:hideMark/>
          </w:tcPr>
          <w:p w14:paraId="638820F2"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6 m '22/'21</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7864C638"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 xml:space="preserve"> 6 m '22/'21</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4D15382C" w14:textId="77777777" w:rsidR="00A173F6" w:rsidRDefault="00A173F6">
            <w:pPr>
              <w:jc w:val="center"/>
              <w:rPr>
                <w:rFonts w:cstheme="minorHAnsi"/>
                <w:b/>
                <w:bCs/>
                <w:color w:val="000000"/>
                <w:lang w:val="de-DE" w:eastAsia="nl-BE"/>
              </w:rPr>
            </w:pPr>
            <w:r>
              <w:rPr>
                <w:rFonts w:ascii="Calibri" w:hAnsi="Calibri" w:cstheme="minorHAnsi"/>
                <w:b/>
                <w:bCs/>
                <w:color w:val="000000"/>
                <w:lang w:val="de-DE" w:eastAsia="nl-BE"/>
              </w:rPr>
              <w:t xml:space="preserve"> 6 m '22/'21</w:t>
            </w:r>
          </w:p>
        </w:tc>
      </w:tr>
      <w:tr w:rsidR="00A173F6" w14:paraId="076AEEEB" w14:textId="77777777" w:rsidTr="00A173F6">
        <w:trPr>
          <w:trHeight w:val="720"/>
        </w:trPr>
        <w:tc>
          <w:tcPr>
            <w:tcW w:w="2835" w:type="dxa"/>
            <w:tcBorders>
              <w:top w:val="nil"/>
              <w:left w:val="single" w:sz="4" w:space="0" w:color="auto"/>
              <w:bottom w:val="single" w:sz="4" w:space="0" w:color="auto"/>
              <w:right w:val="single" w:sz="4" w:space="0" w:color="auto"/>
            </w:tcBorders>
            <w:vAlign w:val="center"/>
            <w:hideMark/>
          </w:tcPr>
          <w:p w14:paraId="4B28FF27" w14:textId="77777777" w:rsidR="00A173F6" w:rsidRDefault="00A173F6">
            <w:pPr>
              <w:rPr>
                <w:rFonts w:cstheme="minorHAnsi"/>
                <w:color w:val="000000"/>
                <w:lang w:val="de-DE" w:eastAsia="nl-BE"/>
              </w:rPr>
            </w:pPr>
            <w:r>
              <w:rPr>
                <w:rFonts w:cstheme="minorHAnsi"/>
                <w:color w:val="000000"/>
                <w:lang w:val="de-DE" w:eastAsia="nl-BE"/>
              </w:rPr>
              <w:t>Stühle und Sitzmöbel, Esszimmer-, Wohnzimmer-, Schlafzimmer-, Badezimmer, Garten- und Terrassenmöbel</w:t>
            </w:r>
          </w:p>
        </w:tc>
        <w:tc>
          <w:tcPr>
            <w:tcW w:w="952" w:type="dxa"/>
            <w:tcBorders>
              <w:top w:val="nil"/>
              <w:left w:val="nil"/>
              <w:bottom w:val="single" w:sz="4" w:space="0" w:color="auto"/>
              <w:right w:val="nil"/>
            </w:tcBorders>
            <w:noWrap/>
            <w:vAlign w:val="center"/>
            <w:hideMark/>
          </w:tcPr>
          <w:p w14:paraId="7ED15AD9" w14:textId="77777777" w:rsidR="00A173F6" w:rsidRDefault="00A173F6">
            <w:pPr>
              <w:jc w:val="right"/>
              <w:rPr>
                <w:rFonts w:cstheme="minorHAnsi"/>
                <w:color w:val="000000"/>
                <w:lang w:val="de-DE" w:eastAsia="nl-BE"/>
              </w:rPr>
            </w:pPr>
            <w:r>
              <w:rPr>
                <w:rFonts w:cstheme="minorHAnsi"/>
                <w:color w:val="000000"/>
                <w:lang w:val="de-DE" w:eastAsia="nl-BE"/>
              </w:rPr>
              <w:t>812,9</w:t>
            </w:r>
          </w:p>
        </w:tc>
        <w:tc>
          <w:tcPr>
            <w:tcW w:w="952" w:type="dxa"/>
            <w:tcBorders>
              <w:top w:val="nil"/>
              <w:left w:val="single" w:sz="4" w:space="0" w:color="auto"/>
              <w:bottom w:val="single" w:sz="4" w:space="0" w:color="auto"/>
              <w:right w:val="single" w:sz="4" w:space="0" w:color="auto"/>
            </w:tcBorders>
            <w:noWrap/>
            <w:vAlign w:val="center"/>
            <w:hideMark/>
          </w:tcPr>
          <w:p w14:paraId="40973550" w14:textId="77777777" w:rsidR="00A173F6" w:rsidRDefault="00A173F6">
            <w:pPr>
              <w:jc w:val="right"/>
              <w:rPr>
                <w:rFonts w:cstheme="minorHAnsi"/>
                <w:color w:val="000000"/>
                <w:lang w:val="de-DE" w:eastAsia="nl-BE"/>
              </w:rPr>
            </w:pPr>
            <w:r>
              <w:rPr>
                <w:rFonts w:cstheme="minorHAnsi"/>
                <w:color w:val="000000"/>
                <w:lang w:val="de-DE" w:eastAsia="nl-BE"/>
              </w:rPr>
              <w:t>933,8</w:t>
            </w:r>
          </w:p>
        </w:tc>
        <w:tc>
          <w:tcPr>
            <w:tcW w:w="952" w:type="dxa"/>
            <w:tcBorders>
              <w:top w:val="nil"/>
              <w:left w:val="nil"/>
              <w:bottom w:val="single" w:sz="4" w:space="0" w:color="auto"/>
              <w:right w:val="single" w:sz="4" w:space="0" w:color="auto"/>
            </w:tcBorders>
            <w:noWrap/>
            <w:vAlign w:val="center"/>
            <w:hideMark/>
          </w:tcPr>
          <w:p w14:paraId="03E508EB" w14:textId="77777777" w:rsidR="00A173F6" w:rsidRDefault="00A173F6">
            <w:pPr>
              <w:jc w:val="right"/>
              <w:rPr>
                <w:rFonts w:cstheme="minorHAnsi"/>
                <w:b/>
                <w:bCs/>
                <w:color w:val="000000"/>
                <w:lang w:val="de-DE" w:eastAsia="nl-BE"/>
              </w:rPr>
            </w:pPr>
            <w:r>
              <w:rPr>
                <w:rFonts w:ascii="Calibri" w:hAnsi="Calibri" w:cstheme="minorHAnsi"/>
                <w:b/>
                <w:bCs/>
                <w:color w:val="000000"/>
                <w:lang w:val="de-DE" w:eastAsia="nl-BE"/>
              </w:rPr>
              <w:t>14,9%</w:t>
            </w:r>
          </w:p>
        </w:tc>
        <w:tc>
          <w:tcPr>
            <w:tcW w:w="953" w:type="dxa"/>
            <w:tcBorders>
              <w:top w:val="nil"/>
              <w:left w:val="nil"/>
              <w:bottom w:val="single" w:sz="4" w:space="0" w:color="auto"/>
              <w:right w:val="single" w:sz="4" w:space="0" w:color="auto"/>
            </w:tcBorders>
            <w:noWrap/>
            <w:vAlign w:val="center"/>
            <w:hideMark/>
          </w:tcPr>
          <w:p w14:paraId="0493E475" w14:textId="77777777" w:rsidR="00A173F6" w:rsidRDefault="00A173F6">
            <w:pPr>
              <w:jc w:val="right"/>
              <w:rPr>
                <w:rFonts w:cstheme="minorHAnsi"/>
                <w:color w:val="000000"/>
                <w:lang w:val="de-DE" w:eastAsia="nl-BE"/>
              </w:rPr>
            </w:pPr>
            <w:r>
              <w:rPr>
                <w:rFonts w:cstheme="minorHAnsi"/>
                <w:color w:val="000000"/>
                <w:lang w:val="de-DE" w:eastAsia="nl-BE"/>
              </w:rPr>
              <w:t>483,4</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38B0221D" w14:textId="77777777" w:rsidR="00A173F6" w:rsidRDefault="00A173F6">
            <w:pPr>
              <w:jc w:val="right"/>
              <w:rPr>
                <w:rFonts w:cstheme="minorHAnsi"/>
                <w:color w:val="000000"/>
                <w:lang w:val="de-DE" w:eastAsia="nl-BE"/>
              </w:rPr>
            </w:pPr>
            <w:r>
              <w:rPr>
                <w:rFonts w:cstheme="minorHAnsi"/>
                <w:color w:val="000000"/>
                <w:lang w:val="de-DE" w:eastAsia="nl-BE"/>
              </w:rPr>
              <w:t>492,7</w:t>
            </w:r>
          </w:p>
        </w:tc>
        <w:tc>
          <w:tcPr>
            <w:tcW w:w="952" w:type="dxa"/>
            <w:tcBorders>
              <w:top w:val="nil"/>
              <w:left w:val="nil"/>
              <w:bottom w:val="single" w:sz="4" w:space="0" w:color="auto"/>
              <w:right w:val="nil"/>
            </w:tcBorders>
            <w:noWrap/>
            <w:vAlign w:val="center"/>
            <w:hideMark/>
          </w:tcPr>
          <w:p w14:paraId="5819828F" w14:textId="77777777" w:rsidR="00A173F6" w:rsidRDefault="00A173F6">
            <w:pPr>
              <w:jc w:val="right"/>
              <w:rPr>
                <w:rFonts w:cstheme="minorHAnsi"/>
                <w:color w:val="000000"/>
                <w:lang w:val="de-DE" w:eastAsia="nl-BE"/>
              </w:rPr>
            </w:pPr>
            <w:r>
              <w:rPr>
                <w:rFonts w:cstheme="minorHAnsi"/>
                <w:color w:val="000000"/>
                <w:lang w:val="de-DE" w:eastAsia="nl-BE"/>
              </w:rPr>
              <w:t>1,9%</w:t>
            </w:r>
          </w:p>
        </w:tc>
        <w:tc>
          <w:tcPr>
            <w:tcW w:w="952" w:type="dxa"/>
            <w:tcBorders>
              <w:top w:val="nil"/>
              <w:left w:val="single" w:sz="12" w:space="0" w:color="auto"/>
              <w:bottom w:val="single" w:sz="4" w:space="0" w:color="auto"/>
              <w:right w:val="single" w:sz="4" w:space="0" w:color="auto"/>
            </w:tcBorders>
            <w:noWrap/>
            <w:vAlign w:val="center"/>
            <w:hideMark/>
          </w:tcPr>
          <w:p w14:paraId="65B2817D" w14:textId="77777777" w:rsidR="00A173F6" w:rsidRDefault="00A173F6">
            <w:pPr>
              <w:jc w:val="right"/>
              <w:rPr>
                <w:rFonts w:cstheme="minorHAnsi"/>
                <w:color w:val="000000"/>
                <w:lang w:val="de-DE" w:eastAsia="nl-BE"/>
              </w:rPr>
            </w:pPr>
            <w:r>
              <w:rPr>
                <w:rFonts w:cstheme="minorHAnsi"/>
                <w:color w:val="000000"/>
                <w:lang w:val="de-DE" w:eastAsia="nl-BE"/>
              </w:rPr>
              <w:t>+15,8%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C1E7493" w14:textId="77777777" w:rsidR="00A173F6" w:rsidRDefault="00A173F6">
            <w:pPr>
              <w:jc w:val="right"/>
              <w:rPr>
                <w:rFonts w:cstheme="minorHAnsi"/>
                <w:b/>
                <w:bCs/>
                <w:lang w:val="de-DE" w:eastAsia="nl-BE"/>
              </w:rPr>
            </w:pPr>
            <w:r>
              <w:rPr>
                <w:rFonts w:ascii="Calibri" w:hAnsi="Calibri" w:cstheme="minorHAnsi"/>
                <w:b/>
                <w:bCs/>
                <w:lang w:val="de-DE" w:eastAsia="nl-BE"/>
              </w:rPr>
              <w:t>-14%</w:t>
            </w:r>
          </w:p>
        </w:tc>
      </w:tr>
      <w:tr w:rsidR="00A173F6" w14:paraId="091C72BB" w14:textId="77777777" w:rsidTr="00A173F6">
        <w:trPr>
          <w:trHeight w:val="360"/>
        </w:trPr>
        <w:tc>
          <w:tcPr>
            <w:tcW w:w="2835" w:type="dxa"/>
            <w:tcBorders>
              <w:top w:val="nil"/>
              <w:left w:val="single" w:sz="4" w:space="0" w:color="auto"/>
              <w:bottom w:val="single" w:sz="4" w:space="0" w:color="auto"/>
              <w:right w:val="single" w:sz="4" w:space="0" w:color="auto"/>
            </w:tcBorders>
            <w:noWrap/>
            <w:vAlign w:val="center"/>
            <w:hideMark/>
          </w:tcPr>
          <w:p w14:paraId="2C5C53BC" w14:textId="77777777" w:rsidR="00A173F6" w:rsidRDefault="00A173F6">
            <w:pPr>
              <w:rPr>
                <w:rFonts w:cstheme="minorHAnsi"/>
                <w:color w:val="000000"/>
                <w:lang w:val="de-DE" w:eastAsia="nl-BE"/>
              </w:rPr>
            </w:pPr>
            <w:r>
              <w:rPr>
                <w:rFonts w:cstheme="minorHAnsi"/>
                <w:color w:val="000000"/>
                <w:lang w:val="de-DE" w:eastAsia="nl-BE"/>
              </w:rPr>
              <w:t>Büro- und Einzelhandelsmobiliar</w:t>
            </w:r>
          </w:p>
        </w:tc>
        <w:tc>
          <w:tcPr>
            <w:tcW w:w="952" w:type="dxa"/>
            <w:tcBorders>
              <w:top w:val="nil"/>
              <w:left w:val="nil"/>
              <w:bottom w:val="single" w:sz="4" w:space="0" w:color="auto"/>
              <w:right w:val="nil"/>
            </w:tcBorders>
            <w:noWrap/>
            <w:vAlign w:val="center"/>
            <w:hideMark/>
          </w:tcPr>
          <w:p w14:paraId="6D052D22" w14:textId="77777777" w:rsidR="00A173F6" w:rsidRDefault="00A173F6">
            <w:pPr>
              <w:jc w:val="right"/>
              <w:rPr>
                <w:rFonts w:cstheme="minorHAnsi"/>
                <w:color w:val="000000"/>
                <w:lang w:val="de-DE" w:eastAsia="nl-BE"/>
              </w:rPr>
            </w:pPr>
            <w:r>
              <w:rPr>
                <w:rFonts w:cstheme="minorHAnsi"/>
                <w:color w:val="000000"/>
                <w:lang w:val="de-DE" w:eastAsia="nl-BE"/>
              </w:rPr>
              <w:t>430,8</w:t>
            </w:r>
          </w:p>
        </w:tc>
        <w:tc>
          <w:tcPr>
            <w:tcW w:w="952" w:type="dxa"/>
            <w:tcBorders>
              <w:top w:val="nil"/>
              <w:left w:val="single" w:sz="4" w:space="0" w:color="auto"/>
              <w:bottom w:val="single" w:sz="4" w:space="0" w:color="auto"/>
              <w:right w:val="single" w:sz="4" w:space="0" w:color="auto"/>
            </w:tcBorders>
            <w:noWrap/>
            <w:vAlign w:val="center"/>
            <w:hideMark/>
          </w:tcPr>
          <w:p w14:paraId="7AA16962" w14:textId="77777777" w:rsidR="00A173F6" w:rsidRDefault="00A173F6">
            <w:pPr>
              <w:jc w:val="right"/>
              <w:rPr>
                <w:rFonts w:cstheme="minorHAnsi"/>
                <w:color w:val="000000"/>
                <w:lang w:val="de-DE" w:eastAsia="nl-BE"/>
              </w:rPr>
            </w:pPr>
            <w:r>
              <w:rPr>
                <w:rFonts w:cstheme="minorHAnsi"/>
                <w:color w:val="000000"/>
                <w:lang w:val="de-DE" w:eastAsia="nl-BE"/>
              </w:rPr>
              <w:t>489,6</w:t>
            </w:r>
          </w:p>
        </w:tc>
        <w:tc>
          <w:tcPr>
            <w:tcW w:w="952" w:type="dxa"/>
            <w:tcBorders>
              <w:top w:val="nil"/>
              <w:left w:val="nil"/>
              <w:bottom w:val="single" w:sz="4" w:space="0" w:color="auto"/>
              <w:right w:val="single" w:sz="4" w:space="0" w:color="auto"/>
            </w:tcBorders>
            <w:noWrap/>
            <w:vAlign w:val="center"/>
            <w:hideMark/>
          </w:tcPr>
          <w:p w14:paraId="1D54D482" w14:textId="77777777" w:rsidR="00A173F6" w:rsidRDefault="00A173F6">
            <w:pPr>
              <w:jc w:val="right"/>
              <w:rPr>
                <w:rFonts w:cstheme="minorHAnsi"/>
                <w:b/>
                <w:bCs/>
                <w:color w:val="000000"/>
                <w:lang w:val="de-DE" w:eastAsia="nl-BE"/>
              </w:rPr>
            </w:pPr>
            <w:r>
              <w:rPr>
                <w:rFonts w:ascii="Calibri" w:hAnsi="Calibri" w:cstheme="minorHAnsi"/>
                <w:b/>
                <w:bCs/>
                <w:color w:val="000000"/>
                <w:lang w:val="de-DE" w:eastAsia="nl-BE"/>
              </w:rPr>
              <w:t>13,6%</w:t>
            </w:r>
          </w:p>
        </w:tc>
        <w:tc>
          <w:tcPr>
            <w:tcW w:w="953" w:type="dxa"/>
            <w:tcBorders>
              <w:top w:val="nil"/>
              <w:left w:val="nil"/>
              <w:bottom w:val="single" w:sz="4" w:space="0" w:color="auto"/>
              <w:right w:val="single" w:sz="4" w:space="0" w:color="auto"/>
            </w:tcBorders>
            <w:noWrap/>
            <w:vAlign w:val="center"/>
            <w:hideMark/>
          </w:tcPr>
          <w:p w14:paraId="5A693519" w14:textId="77777777" w:rsidR="00A173F6" w:rsidRDefault="00A173F6">
            <w:pPr>
              <w:jc w:val="right"/>
              <w:rPr>
                <w:rFonts w:cstheme="minorHAnsi"/>
                <w:color w:val="000000"/>
                <w:lang w:val="de-DE" w:eastAsia="nl-BE"/>
              </w:rPr>
            </w:pPr>
            <w:r>
              <w:rPr>
                <w:rFonts w:cstheme="minorHAnsi"/>
                <w:color w:val="000000"/>
                <w:lang w:val="de-DE" w:eastAsia="nl-BE"/>
              </w:rPr>
              <w:t>226,9</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1126F0ED" w14:textId="77777777" w:rsidR="00A173F6" w:rsidRDefault="00A173F6">
            <w:pPr>
              <w:jc w:val="right"/>
              <w:rPr>
                <w:rFonts w:cstheme="minorHAnsi"/>
                <w:color w:val="000000"/>
                <w:lang w:val="de-DE" w:eastAsia="nl-BE"/>
              </w:rPr>
            </w:pPr>
            <w:r>
              <w:rPr>
                <w:rFonts w:cstheme="minorHAnsi"/>
                <w:color w:val="000000"/>
                <w:lang w:val="de-DE" w:eastAsia="nl-BE"/>
              </w:rPr>
              <w:t>289,6</w:t>
            </w:r>
          </w:p>
        </w:tc>
        <w:tc>
          <w:tcPr>
            <w:tcW w:w="952" w:type="dxa"/>
            <w:tcBorders>
              <w:top w:val="nil"/>
              <w:left w:val="nil"/>
              <w:bottom w:val="single" w:sz="4" w:space="0" w:color="auto"/>
              <w:right w:val="nil"/>
            </w:tcBorders>
            <w:noWrap/>
            <w:vAlign w:val="center"/>
            <w:hideMark/>
          </w:tcPr>
          <w:p w14:paraId="1DF57CB5" w14:textId="77777777" w:rsidR="00A173F6" w:rsidRDefault="00A173F6">
            <w:pPr>
              <w:jc w:val="right"/>
              <w:rPr>
                <w:rFonts w:cstheme="minorHAnsi"/>
                <w:color w:val="000000"/>
                <w:lang w:val="de-DE" w:eastAsia="nl-BE"/>
              </w:rPr>
            </w:pPr>
            <w:r>
              <w:rPr>
                <w:rFonts w:cstheme="minorHAnsi"/>
                <w:color w:val="000000"/>
                <w:lang w:val="de-DE" w:eastAsia="nl-BE"/>
              </w:rPr>
              <w:t>27,6%</w:t>
            </w:r>
          </w:p>
        </w:tc>
        <w:tc>
          <w:tcPr>
            <w:tcW w:w="952" w:type="dxa"/>
            <w:tcBorders>
              <w:top w:val="nil"/>
              <w:left w:val="single" w:sz="12" w:space="0" w:color="auto"/>
              <w:bottom w:val="single" w:sz="4" w:space="0" w:color="auto"/>
              <w:right w:val="single" w:sz="4" w:space="0" w:color="auto"/>
            </w:tcBorders>
            <w:noWrap/>
            <w:vAlign w:val="center"/>
            <w:hideMark/>
          </w:tcPr>
          <w:p w14:paraId="6DBDDF9A" w14:textId="77777777" w:rsidR="00A173F6" w:rsidRDefault="00A173F6">
            <w:pPr>
              <w:jc w:val="right"/>
              <w:rPr>
                <w:rFonts w:cstheme="minorHAnsi"/>
                <w:color w:val="000000"/>
                <w:lang w:val="de-DE" w:eastAsia="nl-BE"/>
              </w:rPr>
            </w:pPr>
            <w:r>
              <w:rPr>
                <w:rFonts w:cstheme="minorHAnsi"/>
                <w:color w:val="000000"/>
                <w:lang w:val="de-DE" w:eastAsia="nl-BE"/>
              </w:rPr>
              <w:t>+28,6%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8380B76" w14:textId="77777777" w:rsidR="00A173F6" w:rsidRDefault="00A173F6">
            <w:pPr>
              <w:jc w:val="right"/>
              <w:rPr>
                <w:rFonts w:cstheme="minorHAnsi"/>
                <w:b/>
                <w:bCs/>
                <w:lang w:val="de-DE" w:eastAsia="nl-BE"/>
              </w:rPr>
            </w:pPr>
            <w:r>
              <w:rPr>
                <w:rFonts w:ascii="Calibri" w:hAnsi="Calibri" w:cstheme="minorHAnsi"/>
                <w:b/>
                <w:bCs/>
                <w:lang w:val="de-DE" w:eastAsia="nl-BE"/>
              </w:rPr>
              <w:t>-1%</w:t>
            </w:r>
          </w:p>
        </w:tc>
      </w:tr>
      <w:tr w:rsidR="00A173F6" w14:paraId="4476695B" w14:textId="77777777" w:rsidTr="00A173F6">
        <w:trPr>
          <w:trHeight w:val="360"/>
        </w:trPr>
        <w:tc>
          <w:tcPr>
            <w:tcW w:w="2835" w:type="dxa"/>
            <w:tcBorders>
              <w:top w:val="nil"/>
              <w:left w:val="single" w:sz="4" w:space="0" w:color="auto"/>
              <w:bottom w:val="single" w:sz="4" w:space="0" w:color="auto"/>
              <w:right w:val="single" w:sz="4" w:space="0" w:color="auto"/>
            </w:tcBorders>
            <w:noWrap/>
            <w:vAlign w:val="center"/>
            <w:hideMark/>
          </w:tcPr>
          <w:p w14:paraId="236A20A4" w14:textId="77777777" w:rsidR="00A173F6" w:rsidRDefault="00A173F6">
            <w:pPr>
              <w:rPr>
                <w:rFonts w:cstheme="minorHAnsi"/>
                <w:color w:val="000000"/>
                <w:lang w:val="de-DE" w:eastAsia="nl-BE"/>
              </w:rPr>
            </w:pPr>
            <w:r>
              <w:rPr>
                <w:rFonts w:cstheme="minorHAnsi"/>
                <w:color w:val="000000"/>
                <w:lang w:val="de-DE" w:eastAsia="nl-BE"/>
              </w:rPr>
              <w:t>Küchenmöbel</w:t>
            </w:r>
          </w:p>
        </w:tc>
        <w:tc>
          <w:tcPr>
            <w:tcW w:w="952" w:type="dxa"/>
            <w:tcBorders>
              <w:top w:val="nil"/>
              <w:left w:val="nil"/>
              <w:bottom w:val="single" w:sz="4" w:space="0" w:color="auto"/>
              <w:right w:val="nil"/>
            </w:tcBorders>
            <w:noWrap/>
            <w:vAlign w:val="center"/>
            <w:hideMark/>
          </w:tcPr>
          <w:p w14:paraId="3972E99A" w14:textId="77777777" w:rsidR="00A173F6" w:rsidRDefault="00A173F6">
            <w:pPr>
              <w:jc w:val="right"/>
              <w:rPr>
                <w:rFonts w:cstheme="minorHAnsi"/>
                <w:color w:val="000000"/>
                <w:lang w:val="de-DE" w:eastAsia="nl-BE"/>
              </w:rPr>
            </w:pPr>
            <w:r>
              <w:rPr>
                <w:rFonts w:cstheme="minorHAnsi"/>
                <w:color w:val="000000"/>
                <w:lang w:val="de-DE" w:eastAsia="nl-BE"/>
              </w:rPr>
              <w:t>429,4</w:t>
            </w:r>
          </w:p>
        </w:tc>
        <w:tc>
          <w:tcPr>
            <w:tcW w:w="952" w:type="dxa"/>
            <w:tcBorders>
              <w:top w:val="nil"/>
              <w:left w:val="single" w:sz="4" w:space="0" w:color="auto"/>
              <w:bottom w:val="single" w:sz="4" w:space="0" w:color="auto"/>
              <w:right w:val="single" w:sz="4" w:space="0" w:color="auto"/>
            </w:tcBorders>
            <w:noWrap/>
            <w:vAlign w:val="center"/>
            <w:hideMark/>
          </w:tcPr>
          <w:p w14:paraId="0878915D" w14:textId="77777777" w:rsidR="00A173F6" w:rsidRDefault="00A173F6">
            <w:pPr>
              <w:jc w:val="right"/>
              <w:rPr>
                <w:rFonts w:cstheme="minorHAnsi"/>
                <w:color w:val="000000"/>
                <w:lang w:val="de-DE" w:eastAsia="nl-BE"/>
              </w:rPr>
            </w:pPr>
            <w:r>
              <w:rPr>
                <w:rFonts w:cstheme="minorHAnsi"/>
                <w:color w:val="000000"/>
                <w:lang w:val="de-DE" w:eastAsia="nl-BE"/>
              </w:rPr>
              <w:t>482,9</w:t>
            </w:r>
          </w:p>
        </w:tc>
        <w:tc>
          <w:tcPr>
            <w:tcW w:w="952" w:type="dxa"/>
            <w:tcBorders>
              <w:top w:val="nil"/>
              <w:left w:val="nil"/>
              <w:bottom w:val="single" w:sz="4" w:space="0" w:color="auto"/>
              <w:right w:val="single" w:sz="4" w:space="0" w:color="auto"/>
            </w:tcBorders>
            <w:noWrap/>
            <w:vAlign w:val="center"/>
            <w:hideMark/>
          </w:tcPr>
          <w:p w14:paraId="146D5D27" w14:textId="77777777" w:rsidR="00A173F6" w:rsidRDefault="00A173F6">
            <w:pPr>
              <w:jc w:val="right"/>
              <w:rPr>
                <w:rFonts w:cstheme="minorHAnsi"/>
                <w:b/>
                <w:bCs/>
                <w:color w:val="000000"/>
                <w:lang w:val="de-DE" w:eastAsia="nl-BE"/>
              </w:rPr>
            </w:pPr>
            <w:r>
              <w:rPr>
                <w:rFonts w:ascii="Calibri" w:hAnsi="Calibri" w:cstheme="minorHAnsi"/>
                <w:b/>
                <w:bCs/>
                <w:color w:val="000000"/>
                <w:lang w:val="de-DE" w:eastAsia="nl-BE"/>
              </w:rPr>
              <w:t>12,5%</w:t>
            </w:r>
          </w:p>
        </w:tc>
        <w:tc>
          <w:tcPr>
            <w:tcW w:w="953" w:type="dxa"/>
            <w:tcBorders>
              <w:top w:val="nil"/>
              <w:left w:val="nil"/>
              <w:bottom w:val="single" w:sz="4" w:space="0" w:color="auto"/>
              <w:right w:val="single" w:sz="4" w:space="0" w:color="auto"/>
            </w:tcBorders>
            <w:noWrap/>
            <w:vAlign w:val="center"/>
            <w:hideMark/>
          </w:tcPr>
          <w:p w14:paraId="429B55C5" w14:textId="77777777" w:rsidR="00A173F6" w:rsidRDefault="00A173F6">
            <w:pPr>
              <w:jc w:val="right"/>
              <w:rPr>
                <w:rFonts w:cstheme="minorHAnsi"/>
                <w:color w:val="000000"/>
                <w:lang w:val="de-DE" w:eastAsia="nl-BE"/>
              </w:rPr>
            </w:pPr>
            <w:r>
              <w:rPr>
                <w:rFonts w:cstheme="minorHAnsi"/>
                <w:color w:val="000000"/>
                <w:lang w:val="de-DE" w:eastAsia="nl-BE"/>
              </w:rPr>
              <w:t>242,5</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5C362DAC" w14:textId="77777777" w:rsidR="00A173F6" w:rsidRDefault="00A173F6">
            <w:pPr>
              <w:jc w:val="right"/>
              <w:rPr>
                <w:rFonts w:cstheme="minorHAnsi"/>
                <w:color w:val="000000"/>
                <w:lang w:val="de-DE" w:eastAsia="nl-BE"/>
              </w:rPr>
            </w:pPr>
            <w:r>
              <w:rPr>
                <w:rFonts w:cstheme="minorHAnsi"/>
                <w:color w:val="000000"/>
                <w:lang w:val="de-DE" w:eastAsia="nl-BE"/>
              </w:rPr>
              <w:t>263,7</w:t>
            </w:r>
          </w:p>
        </w:tc>
        <w:tc>
          <w:tcPr>
            <w:tcW w:w="952" w:type="dxa"/>
            <w:tcBorders>
              <w:top w:val="nil"/>
              <w:left w:val="nil"/>
              <w:bottom w:val="single" w:sz="4" w:space="0" w:color="auto"/>
              <w:right w:val="nil"/>
            </w:tcBorders>
            <w:noWrap/>
            <w:vAlign w:val="center"/>
            <w:hideMark/>
          </w:tcPr>
          <w:p w14:paraId="258307C9" w14:textId="77777777" w:rsidR="00A173F6" w:rsidRDefault="00A173F6">
            <w:pPr>
              <w:jc w:val="right"/>
              <w:rPr>
                <w:rFonts w:cstheme="minorHAnsi"/>
                <w:color w:val="000000"/>
                <w:lang w:val="de-DE" w:eastAsia="nl-BE"/>
              </w:rPr>
            </w:pPr>
            <w:r>
              <w:rPr>
                <w:rFonts w:cstheme="minorHAnsi"/>
                <w:color w:val="000000"/>
                <w:lang w:val="de-DE" w:eastAsia="nl-BE"/>
              </w:rPr>
              <w:t>8,7%</w:t>
            </w:r>
          </w:p>
        </w:tc>
        <w:tc>
          <w:tcPr>
            <w:tcW w:w="952" w:type="dxa"/>
            <w:tcBorders>
              <w:top w:val="nil"/>
              <w:left w:val="single" w:sz="12" w:space="0" w:color="auto"/>
              <w:bottom w:val="single" w:sz="4" w:space="0" w:color="auto"/>
              <w:right w:val="single" w:sz="4" w:space="0" w:color="auto"/>
            </w:tcBorders>
            <w:noWrap/>
            <w:vAlign w:val="center"/>
            <w:hideMark/>
          </w:tcPr>
          <w:p w14:paraId="2ECE7DDE" w14:textId="77777777" w:rsidR="00A173F6" w:rsidRDefault="00A173F6">
            <w:pPr>
              <w:jc w:val="right"/>
              <w:rPr>
                <w:rFonts w:cstheme="minorHAnsi"/>
                <w:color w:val="000000"/>
                <w:lang w:val="de-DE" w:eastAsia="nl-BE"/>
              </w:rPr>
            </w:pPr>
            <w:r>
              <w:rPr>
                <w:rFonts w:cstheme="minorHAnsi"/>
                <w:color w:val="000000"/>
                <w:lang w:val="de-DE" w:eastAsia="nl-BE"/>
              </w:rPr>
              <w:t>+8,8%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2BF6AF1" w14:textId="77777777" w:rsidR="00A173F6" w:rsidRDefault="00A173F6">
            <w:pPr>
              <w:jc w:val="right"/>
              <w:rPr>
                <w:rFonts w:cstheme="minorHAnsi"/>
                <w:b/>
                <w:bCs/>
                <w:lang w:val="de-DE" w:eastAsia="nl-BE"/>
              </w:rPr>
            </w:pPr>
            <w:proofErr w:type="spellStart"/>
            <w:r>
              <w:rPr>
                <w:rFonts w:ascii="Calibri" w:hAnsi="Calibri" w:cstheme="minorHAnsi"/>
                <w:b/>
                <w:bCs/>
                <w:lang w:val="de-DE" w:eastAsia="nl-BE"/>
              </w:rPr>
              <w:t>sq</w:t>
            </w:r>
            <w:proofErr w:type="spellEnd"/>
          </w:p>
        </w:tc>
      </w:tr>
      <w:tr w:rsidR="00A173F6" w14:paraId="0D784D31" w14:textId="77777777" w:rsidTr="00A173F6">
        <w:trPr>
          <w:trHeight w:val="360"/>
        </w:trPr>
        <w:tc>
          <w:tcPr>
            <w:tcW w:w="2835" w:type="dxa"/>
            <w:tcBorders>
              <w:top w:val="nil"/>
              <w:left w:val="single" w:sz="4" w:space="0" w:color="auto"/>
              <w:bottom w:val="single" w:sz="4" w:space="0" w:color="auto"/>
              <w:right w:val="single" w:sz="4" w:space="0" w:color="auto"/>
            </w:tcBorders>
            <w:noWrap/>
            <w:vAlign w:val="center"/>
            <w:hideMark/>
          </w:tcPr>
          <w:p w14:paraId="0DB49EAE" w14:textId="77777777" w:rsidR="00A173F6" w:rsidRDefault="00A173F6">
            <w:pPr>
              <w:rPr>
                <w:color w:val="000000"/>
                <w:lang w:val="de-DE" w:eastAsia="nl-BE"/>
              </w:rPr>
            </w:pPr>
            <w:r>
              <w:rPr>
                <w:color w:val="000000" w:themeColor="text1"/>
                <w:lang w:val="de-DE" w:eastAsia="nl-BE"/>
              </w:rPr>
              <w:t>Matratzen und Bettböden</w:t>
            </w:r>
          </w:p>
        </w:tc>
        <w:tc>
          <w:tcPr>
            <w:tcW w:w="952" w:type="dxa"/>
            <w:tcBorders>
              <w:top w:val="nil"/>
              <w:left w:val="nil"/>
              <w:bottom w:val="single" w:sz="4" w:space="0" w:color="auto"/>
              <w:right w:val="single" w:sz="4" w:space="0" w:color="auto"/>
            </w:tcBorders>
            <w:noWrap/>
            <w:vAlign w:val="center"/>
            <w:hideMark/>
          </w:tcPr>
          <w:p w14:paraId="65382BC9" w14:textId="77777777" w:rsidR="00A173F6" w:rsidRDefault="00A173F6">
            <w:pPr>
              <w:jc w:val="right"/>
              <w:rPr>
                <w:rFonts w:cstheme="minorHAnsi"/>
                <w:color w:val="000000"/>
                <w:lang w:val="de-DE" w:eastAsia="nl-BE"/>
              </w:rPr>
            </w:pPr>
            <w:r>
              <w:rPr>
                <w:rFonts w:cstheme="minorHAnsi"/>
                <w:color w:val="000000"/>
                <w:lang w:val="de-DE" w:eastAsia="nl-BE"/>
              </w:rPr>
              <w:t>394,1</w:t>
            </w:r>
          </w:p>
        </w:tc>
        <w:tc>
          <w:tcPr>
            <w:tcW w:w="952" w:type="dxa"/>
            <w:tcBorders>
              <w:top w:val="nil"/>
              <w:left w:val="nil"/>
              <w:bottom w:val="single" w:sz="4" w:space="0" w:color="auto"/>
              <w:right w:val="single" w:sz="4" w:space="0" w:color="auto"/>
            </w:tcBorders>
            <w:noWrap/>
            <w:vAlign w:val="center"/>
            <w:hideMark/>
          </w:tcPr>
          <w:p w14:paraId="36F4AF2A" w14:textId="77777777" w:rsidR="00A173F6" w:rsidRDefault="00A173F6">
            <w:pPr>
              <w:jc w:val="right"/>
              <w:rPr>
                <w:rFonts w:cstheme="minorHAnsi"/>
                <w:color w:val="000000"/>
                <w:lang w:val="de-DE" w:eastAsia="nl-BE"/>
              </w:rPr>
            </w:pPr>
            <w:r>
              <w:rPr>
                <w:rFonts w:cstheme="minorHAnsi"/>
                <w:color w:val="000000"/>
                <w:lang w:val="de-DE" w:eastAsia="nl-BE"/>
              </w:rPr>
              <w:t>365,8</w:t>
            </w:r>
          </w:p>
        </w:tc>
        <w:tc>
          <w:tcPr>
            <w:tcW w:w="952" w:type="dxa"/>
            <w:tcBorders>
              <w:top w:val="nil"/>
              <w:left w:val="nil"/>
              <w:bottom w:val="single" w:sz="4" w:space="0" w:color="auto"/>
              <w:right w:val="single" w:sz="4" w:space="0" w:color="auto"/>
            </w:tcBorders>
            <w:noWrap/>
            <w:vAlign w:val="center"/>
            <w:hideMark/>
          </w:tcPr>
          <w:p w14:paraId="63F09C5F" w14:textId="77777777" w:rsidR="00A173F6" w:rsidRDefault="00A173F6">
            <w:pPr>
              <w:jc w:val="right"/>
              <w:rPr>
                <w:rFonts w:cstheme="minorHAnsi"/>
                <w:b/>
                <w:bCs/>
                <w:color w:val="000000"/>
                <w:lang w:val="de-DE" w:eastAsia="nl-BE"/>
              </w:rPr>
            </w:pPr>
            <w:r>
              <w:rPr>
                <w:rFonts w:ascii="Calibri" w:hAnsi="Calibri" w:cstheme="minorHAnsi"/>
                <w:b/>
                <w:bCs/>
                <w:color w:val="000000"/>
                <w:lang w:val="de-DE" w:eastAsia="nl-BE"/>
              </w:rPr>
              <w:t>-7,2%</w:t>
            </w:r>
          </w:p>
        </w:tc>
        <w:tc>
          <w:tcPr>
            <w:tcW w:w="953" w:type="dxa"/>
            <w:tcBorders>
              <w:top w:val="nil"/>
              <w:left w:val="nil"/>
              <w:bottom w:val="single" w:sz="4" w:space="0" w:color="auto"/>
              <w:right w:val="single" w:sz="4" w:space="0" w:color="auto"/>
            </w:tcBorders>
            <w:noWrap/>
            <w:vAlign w:val="center"/>
            <w:hideMark/>
          </w:tcPr>
          <w:p w14:paraId="20ABD89B" w14:textId="77777777" w:rsidR="00A173F6" w:rsidRDefault="00A173F6">
            <w:pPr>
              <w:jc w:val="right"/>
              <w:rPr>
                <w:rFonts w:cstheme="minorHAnsi"/>
                <w:color w:val="000000"/>
                <w:lang w:val="de-DE" w:eastAsia="nl-BE"/>
              </w:rPr>
            </w:pPr>
            <w:r>
              <w:rPr>
                <w:rFonts w:cstheme="minorHAnsi"/>
                <w:color w:val="000000"/>
                <w:lang w:val="de-DE" w:eastAsia="nl-BE"/>
              </w:rPr>
              <w:t>203,9</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14:paraId="7BA181F4" w14:textId="77777777" w:rsidR="00A173F6" w:rsidRDefault="00A173F6">
            <w:pPr>
              <w:jc w:val="right"/>
              <w:rPr>
                <w:rFonts w:cstheme="minorHAnsi"/>
                <w:color w:val="000000"/>
                <w:lang w:val="de-DE" w:eastAsia="nl-BE"/>
              </w:rPr>
            </w:pPr>
            <w:r>
              <w:rPr>
                <w:rFonts w:cstheme="minorHAnsi"/>
                <w:color w:val="000000"/>
                <w:lang w:val="de-DE" w:eastAsia="nl-BE"/>
              </w:rPr>
              <w:t>144,5</w:t>
            </w:r>
          </w:p>
        </w:tc>
        <w:tc>
          <w:tcPr>
            <w:tcW w:w="952" w:type="dxa"/>
            <w:tcBorders>
              <w:top w:val="nil"/>
              <w:left w:val="nil"/>
              <w:bottom w:val="single" w:sz="4" w:space="0" w:color="auto"/>
              <w:right w:val="nil"/>
            </w:tcBorders>
            <w:noWrap/>
            <w:vAlign w:val="center"/>
            <w:hideMark/>
          </w:tcPr>
          <w:p w14:paraId="7E037110" w14:textId="77777777" w:rsidR="00A173F6" w:rsidRDefault="00A173F6">
            <w:pPr>
              <w:jc w:val="right"/>
              <w:rPr>
                <w:rFonts w:cstheme="minorHAnsi"/>
                <w:color w:val="000000"/>
                <w:lang w:val="de-DE" w:eastAsia="nl-BE"/>
              </w:rPr>
            </w:pPr>
            <w:r>
              <w:rPr>
                <w:rFonts w:cstheme="minorHAnsi"/>
                <w:color w:val="000000"/>
                <w:lang w:val="de-DE" w:eastAsia="nl-BE"/>
              </w:rPr>
              <w:t>-29,1%</w:t>
            </w:r>
          </w:p>
        </w:tc>
        <w:tc>
          <w:tcPr>
            <w:tcW w:w="952" w:type="dxa"/>
            <w:tcBorders>
              <w:top w:val="nil"/>
              <w:left w:val="single" w:sz="12" w:space="0" w:color="auto"/>
              <w:bottom w:val="single" w:sz="4" w:space="0" w:color="auto"/>
              <w:right w:val="single" w:sz="4" w:space="0" w:color="auto"/>
            </w:tcBorders>
            <w:noWrap/>
            <w:vAlign w:val="center"/>
            <w:hideMark/>
          </w:tcPr>
          <w:p w14:paraId="651563BA" w14:textId="77777777" w:rsidR="00A173F6" w:rsidRDefault="00A173F6">
            <w:pPr>
              <w:jc w:val="right"/>
              <w:rPr>
                <w:rFonts w:cstheme="minorHAnsi"/>
                <w:color w:val="000000"/>
                <w:lang w:val="de-DE" w:eastAsia="nl-BE"/>
              </w:rPr>
            </w:pPr>
            <w:r>
              <w:rPr>
                <w:rFonts w:cstheme="minorHAnsi"/>
                <w:color w:val="000000"/>
                <w:lang w:val="de-DE" w:eastAsia="nl-BE"/>
              </w:rPr>
              <w:t>+2,6%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09FCC96" w14:textId="77777777" w:rsidR="00A173F6" w:rsidRDefault="00A173F6">
            <w:pPr>
              <w:jc w:val="right"/>
              <w:rPr>
                <w:rFonts w:cstheme="minorHAnsi"/>
                <w:b/>
                <w:bCs/>
                <w:lang w:val="de-DE" w:eastAsia="nl-BE"/>
              </w:rPr>
            </w:pPr>
            <w:r>
              <w:rPr>
                <w:rFonts w:ascii="Calibri" w:hAnsi="Calibri" w:cstheme="minorHAnsi"/>
                <w:b/>
                <w:bCs/>
                <w:lang w:val="de-DE" w:eastAsia="nl-BE"/>
              </w:rPr>
              <w:t>-26,5%</w:t>
            </w:r>
          </w:p>
        </w:tc>
      </w:tr>
      <w:tr w:rsidR="00A173F6" w14:paraId="103BF054" w14:textId="77777777" w:rsidTr="00A173F6">
        <w:trPr>
          <w:trHeight w:val="360"/>
        </w:trPr>
        <w:tc>
          <w:tcPr>
            <w:tcW w:w="2835" w:type="dxa"/>
            <w:tcBorders>
              <w:top w:val="nil"/>
              <w:left w:val="single" w:sz="4" w:space="0" w:color="auto"/>
              <w:bottom w:val="single" w:sz="4" w:space="0" w:color="auto"/>
              <w:right w:val="single" w:sz="4" w:space="0" w:color="auto"/>
            </w:tcBorders>
            <w:shd w:val="clear" w:color="auto" w:fill="FFC000"/>
            <w:noWrap/>
            <w:vAlign w:val="center"/>
            <w:hideMark/>
          </w:tcPr>
          <w:p w14:paraId="5B361B34" w14:textId="77777777" w:rsidR="00A173F6" w:rsidRDefault="00A173F6">
            <w:pPr>
              <w:rPr>
                <w:rFonts w:cstheme="minorHAnsi"/>
                <w:color w:val="000000"/>
                <w:lang w:val="de-DE" w:eastAsia="nl-BE"/>
              </w:rPr>
            </w:pPr>
            <w:r>
              <w:rPr>
                <w:rFonts w:cstheme="minorHAnsi"/>
                <w:color w:val="000000"/>
                <w:lang w:val="de-DE" w:eastAsia="nl-BE"/>
              </w:rPr>
              <w:t>Möbelindustrie</w:t>
            </w:r>
          </w:p>
        </w:tc>
        <w:tc>
          <w:tcPr>
            <w:tcW w:w="952" w:type="dxa"/>
            <w:tcBorders>
              <w:top w:val="nil"/>
              <w:left w:val="nil"/>
              <w:bottom w:val="single" w:sz="4" w:space="0" w:color="auto"/>
              <w:right w:val="single" w:sz="4" w:space="0" w:color="auto"/>
            </w:tcBorders>
            <w:shd w:val="clear" w:color="auto" w:fill="FFC000"/>
            <w:noWrap/>
            <w:vAlign w:val="center"/>
            <w:hideMark/>
          </w:tcPr>
          <w:p w14:paraId="45BE8D64" w14:textId="77777777" w:rsidR="00A173F6" w:rsidRDefault="00A173F6">
            <w:pPr>
              <w:jc w:val="right"/>
              <w:rPr>
                <w:rFonts w:cstheme="minorHAnsi"/>
                <w:color w:val="000000"/>
                <w:lang w:val="de-DE" w:eastAsia="nl-BE"/>
              </w:rPr>
            </w:pPr>
            <w:r>
              <w:rPr>
                <w:rFonts w:cstheme="minorHAnsi"/>
                <w:color w:val="000000"/>
                <w:lang w:val="de-DE" w:eastAsia="nl-BE"/>
              </w:rPr>
              <w:t>2.067,2</w:t>
            </w:r>
          </w:p>
        </w:tc>
        <w:tc>
          <w:tcPr>
            <w:tcW w:w="952" w:type="dxa"/>
            <w:tcBorders>
              <w:top w:val="nil"/>
              <w:left w:val="nil"/>
              <w:bottom w:val="single" w:sz="4" w:space="0" w:color="auto"/>
              <w:right w:val="single" w:sz="4" w:space="0" w:color="auto"/>
            </w:tcBorders>
            <w:shd w:val="clear" w:color="auto" w:fill="FFC000"/>
            <w:noWrap/>
            <w:vAlign w:val="center"/>
            <w:hideMark/>
          </w:tcPr>
          <w:p w14:paraId="3A432246" w14:textId="77777777" w:rsidR="00A173F6" w:rsidRDefault="00A173F6">
            <w:pPr>
              <w:jc w:val="right"/>
              <w:rPr>
                <w:rFonts w:cstheme="minorHAnsi"/>
                <w:color w:val="000000"/>
                <w:lang w:val="de-DE" w:eastAsia="nl-BE"/>
              </w:rPr>
            </w:pPr>
            <w:r>
              <w:rPr>
                <w:rFonts w:cstheme="minorHAnsi"/>
                <w:color w:val="000000"/>
                <w:lang w:val="de-DE" w:eastAsia="nl-BE"/>
              </w:rPr>
              <w:t>2.272,1</w:t>
            </w:r>
          </w:p>
        </w:tc>
        <w:tc>
          <w:tcPr>
            <w:tcW w:w="952" w:type="dxa"/>
            <w:tcBorders>
              <w:top w:val="nil"/>
              <w:left w:val="nil"/>
              <w:bottom w:val="single" w:sz="4" w:space="0" w:color="auto"/>
              <w:right w:val="single" w:sz="4" w:space="0" w:color="auto"/>
            </w:tcBorders>
            <w:shd w:val="clear" w:color="auto" w:fill="FFC000"/>
            <w:noWrap/>
            <w:vAlign w:val="center"/>
            <w:hideMark/>
          </w:tcPr>
          <w:p w14:paraId="3C86B551" w14:textId="77777777" w:rsidR="00A173F6" w:rsidRDefault="00A173F6">
            <w:pPr>
              <w:jc w:val="right"/>
              <w:rPr>
                <w:rFonts w:cstheme="minorHAnsi"/>
                <w:b/>
                <w:bCs/>
                <w:color w:val="000000"/>
                <w:lang w:val="de-DE" w:eastAsia="nl-BE"/>
              </w:rPr>
            </w:pPr>
            <w:r>
              <w:rPr>
                <w:rFonts w:ascii="Calibri" w:hAnsi="Calibri" w:cstheme="minorHAnsi"/>
                <w:b/>
                <w:bCs/>
                <w:color w:val="000000"/>
                <w:lang w:val="de-DE" w:eastAsia="nl-BE"/>
              </w:rPr>
              <w:t>9,9%</w:t>
            </w:r>
          </w:p>
        </w:tc>
        <w:tc>
          <w:tcPr>
            <w:tcW w:w="953" w:type="dxa"/>
            <w:tcBorders>
              <w:top w:val="nil"/>
              <w:left w:val="nil"/>
              <w:bottom w:val="single" w:sz="4" w:space="0" w:color="auto"/>
              <w:right w:val="single" w:sz="4" w:space="0" w:color="auto"/>
            </w:tcBorders>
            <w:shd w:val="clear" w:color="auto" w:fill="FFC000"/>
            <w:noWrap/>
            <w:vAlign w:val="center"/>
            <w:hideMark/>
          </w:tcPr>
          <w:p w14:paraId="16E6AEC2" w14:textId="77777777" w:rsidR="00A173F6" w:rsidRDefault="00A173F6">
            <w:pPr>
              <w:jc w:val="right"/>
              <w:rPr>
                <w:rFonts w:cstheme="minorHAnsi"/>
                <w:color w:val="000000"/>
                <w:lang w:val="de-DE" w:eastAsia="nl-BE"/>
              </w:rPr>
            </w:pPr>
            <w:r>
              <w:rPr>
                <w:rFonts w:cstheme="minorHAnsi"/>
                <w:color w:val="000000"/>
                <w:lang w:val="de-DE" w:eastAsia="nl-BE"/>
              </w:rPr>
              <w:t>1.156,7</w:t>
            </w:r>
          </w:p>
        </w:tc>
        <w:tc>
          <w:tcPr>
            <w:tcW w:w="952" w:type="dxa"/>
            <w:tcBorders>
              <w:top w:val="nil"/>
              <w:left w:val="nil"/>
              <w:bottom w:val="single" w:sz="4" w:space="0" w:color="auto"/>
              <w:right w:val="single" w:sz="4" w:space="0" w:color="auto"/>
            </w:tcBorders>
            <w:shd w:val="clear" w:color="auto" w:fill="FFC000"/>
            <w:noWrap/>
            <w:vAlign w:val="center"/>
            <w:hideMark/>
          </w:tcPr>
          <w:p w14:paraId="2ACB0326" w14:textId="77777777" w:rsidR="00A173F6" w:rsidRDefault="00A173F6">
            <w:pPr>
              <w:jc w:val="right"/>
              <w:rPr>
                <w:rFonts w:cstheme="minorHAnsi"/>
                <w:color w:val="000000"/>
                <w:lang w:val="de-DE" w:eastAsia="nl-BE"/>
              </w:rPr>
            </w:pPr>
            <w:r>
              <w:rPr>
                <w:rFonts w:cstheme="minorHAnsi"/>
                <w:color w:val="000000"/>
                <w:lang w:val="de-DE" w:eastAsia="nl-BE"/>
              </w:rPr>
              <w:t>1.190,5</w:t>
            </w:r>
          </w:p>
        </w:tc>
        <w:tc>
          <w:tcPr>
            <w:tcW w:w="952" w:type="dxa"/>
            <w:tcBorders>
              <w:top w:val="nil"/>
              <w:left w:val="nil"/>
              <w:bottom w:val="single" w:sz="4" w:space="0" w:color="auto"/>
              <w:right w:val="nil"/>
            </w:tcBorders>
            <w:shd w:val="clear" w:color="auto" w:fill="FFC000"/>
            <w:noWrap/>
            <w:vAlign w:val="center"/>
            <w:hideMark/>
          </w:tcPr>
          <w:p w14:paraId="494484E6" w14:textId="77777777" w:rsidR="00A173F6" w:rsidRDefault="00A173F6">
            <w:pPr>
              <w:jc w:val="right"/>
              <w:rPr>
                <w:rFonts w:cstheme="minorHAnsi"/>
                <w:color w:val="000000"/>
                <w:lang w:val="de-DE" w:eastAsia="nl-BE"/>
              </w:rPr>
            </w:pPr>
            <w:r>
              <w:rPr>
                <w:rFonts w:cstheme="minorHAnsi"/>
                <w:color w:val="000000"/>
                <w:lang w:val="de-DE" w:eastAsia="nl-BE"/>
              </w:rPr>
              <w:t>2,9%</w:t>
            </w:r>
          </w:p>
        </w:tc>
        <w:tc>
          <w:tcPr>
            <w:tcW w:w="952" w:type="dxa"/>
            <w:tcBorders>
              <w:top w:val="nil"/>
              <w:left w:val="single" w:sz="12" w:space="0" w:color="auto"/>
              <w:bottom w:val="single" w:sz="4" w:space="0" w:color="auto"/>
              <w:right w:val="single" w:sz="4" w:space="0" w:color="auto"/>
            </w:tcBorders>
            <w:shd w:val="clear" w:color="auto" w:fill="FFC000"/>
            <w:noWrap/>
            <w:vAlign w:val="center"/>
            <w:hideMark/>
          </w:tcPr>
          <w:p w14:paraId="64AB38F4" w14:textId="77777777" w:rsidR="00A173F6" w:rsidRDefault="00A173F6">
            <w:pPr>
              <w:jc w:val="right"/>
              <w:rPr>
                <w:rFonts w:cstheme="minorHAnsi"/>
                <w:color w:val="000000"/>
                <w:lang w:val="de-DE" w:eastAsia="nl-BE"/>
              </w:rPr>
            </w:pPr>
            <w:r>
              <w:rPr>
                <w:rFonts w:cstheme="minorHAnsi"/>
                <w:color w:val="000000"/>
                <w:lang w:val="de-DE" w:eastAsia="nl-BE"/>
              </w:rPr>
              <w:t>+15,7%</w:t>
            </w:r>
          </w:p>
        </w:tc>
        <w:tc>
          <w:tcPr>
            <w:tcW w:w="953" w:type="dxa"/>
            <w:tcBorders>
              <w:top w:val="nil"/>
              <w:left w:val="single" w:sz="12" w:space="0" w:color="auto"/>
              <w:bottom w:val="single" w:sz="4" w:space="0" w:color="auto"/>
              <w:right w:val="single" w:sz="4" w:space="0" w:color="auto"/>
            </w:tcBorders>
            <w:shd w:val="clear" w:color="auto" w:fill="FFC000"/>
            <w:noWrap/>
            <w:vAlign w:val="center"/>
            <w:hideMark/>
          </w:tcPr>
          <w:p w14:paraId="17B4DAD6" w14:textId="77777777" w:rsidR="00A173F6" w:rsidRDefault="00A173F6">
            <w:pPr>
              <w:jc w:val="right"/>
              <w:rPr>
                <w:rFonts w:cstheme="minorHAnsi"/>
                <w:b/>
                <w:bCs/>
                <w:lang w:val="de-DE" w:eastAsia="nl-BE"/>
              </w:rPr>
            </w:pPr>
            <w:r>
              <w:rPr>
                <w:rFonts w:ascii="Calibri" w:hAnsi="Calibri" w:cstheme="minorHAnsi"/>
                <w:b/>
                <w:bCs/>
                <w:lang w:val="de-DE" w:eastAsia="nl-BE"/>
              </w:rPr>
              <w:t>-13%</w:t>
            </w:r>
          </w:p>
        </w:tc>
      </w:tr>
    </w:tbl>
    <w:p w14:paraId="667F7CE9" w14:textId="77777777" w:rsidR="00A173F6" w:rsidRDefault="00A173F6" w:rsidP="00A173F6">
      <w:pPr>
        <w:pStyle w:val="BodyText"/>
        <w:tabs>
          <w:tab w:val="left" w:pos="567"/>
        </w:tabs>
        <w:rPr>
          <w:rFonts w:asciiTheme="minorHAnsi" w:hAnsiTheme="minorHAnsi" w:cstheme="minorHAnsi"/>
          <w:noProof w:val="0"/>
          <w:sz w:val="16"/>
          <w:szCs w:val="10"/>
          <w:lang w:val="de-DE"/>
        </w:rPr>
      </w:pPr>
      <w:r>
        <w:rPr>
          <w:rFonts w:asciiTheme="minorHAnsi" w:hAnsiTheme="minorHAnsi" w:cstheme="minorHAnsi"/>
          <w:noProof w:val="0"/>
          <w:sz w:val="16"/>
          <w:szCs w:val="10"/>
          <w:lang w:val="de-DE"/>
        </w:rPr>
        <w:t xml:space="preserve">Quelle: Belgisches Finanzministerium, Umsatzsteuererklärungen </w:t>
      </w:r>
    </w:p>
    <w:p w14:paraId="43E7F1E7" w14:textId="77777777" w:rsidR="00A173F6" w:rsidRDefault="00A173F6" w:rsidP="00A173F6">
      <w:pPr>
        <w:pStyle w:val="BodyText"/>
        <w:tabs>
          <w:tab w:val="left" w:pos="567"/>
        </w:tabs>
        <w:rPr>
          <w:rFonts w:asciiTheme="minorHAnsi" w:hAnsiTheme="minorHAnsi" w:cstheme="minorHAnsi"/>
          <w:noProof w:val="0"/>
          <w:sz w:val="18"/>
          <w:lang w:val="de-DE"/>
        </w:rPr>
      </w:pPr>
      <w:r>
        <w:rPr>
          <w:rFonts w:asciiTheme="minorHAnsi" w:hAnsiTheme="minorHAnsi" w:cstheme="minorHAnsi"/>
          <w:noProof w:val="0"/>
          <w:sz w:val="18"/>
          <w:lang w:val="de-DE"/>
        </w:rPr>
        <w:t>* Vorläufige Angaben</w:t>
      </w:r>
    </w:p>
    <w:p w14:paraId="1EBA96C1" w14:textId="77777777" w:rsidR="00D16ED2" w:rsidRPr="008A6F6A" w:rsidRDefault="00D16ED2" w:rsidP="00D16ED2">
      <w:pPr>
        <w:pStyle w:val="BodyText"/>
        <w:rPr>
          <w:rFonts w:asciiTheme="minorHAnsi" w:hAnsiTheme="minorHAnsi" w:cstheme="minorHAnsi"/>
          <w:szCs w:val="22"/>
        </w:rPr>
      </w:pPr>
    </w:p>
    <w:p w14:paraId="22CA1741" w14:textId="77777777" w:rsidR="00A173F6" w:rsidRDefault="00A173F6" w:rsidP="00A173F6">
      <w:pPr>
        <w:pStyle w:val="BodyText"/>
        <w:rPr>
          <w:rFonts w:asciiTheme="minorHAnsi" w:hAnsiTheme="minorHAnsi" w:cstheme="minorBidi"/>
          <w:noProof w:val="0"/>
          <w:lang w:val="de-DE"/>
        </w:rPr>
      </w:pPr>
      <w:r>
        <w:rPr>
          <w:rFonts w:asciiTheme="minorHAnsi" w:hAnsiTheme="minorHAnsi" w:cstheme="minorBidi"/>
          <w:noProof w:val="0"/>
          <w:lang w:val="de-DE"/>
        </w:rPr>
        <w:t>Im ersten Halbjahr 2022 betrug der Umsatz der belgischen Möbelindustrie 1.190,5 Millionen Euro, eine Steigerung um 2,9% im Vergleich zum ersten Halbjahr 2021. Im selben Zeitraum stiegen die Absatzpreise jedoch um 15,7%, wodurch wir reell (Volumen) einen faktischen Umsatzrückgang von 13% verzeichnen. 2021 stieg der Umsatz im Vergleich zu 2020 noch um 9,9%.</w:t>
      </w:r>
    </w:p>
    <w:p w14:paraId="3DEACD10" w14:textId="77777777" w:rsidR="00A173F6" w:rsidRDefault="00A173F6" w:rsidP="00A173F6">
      <w:pPr>
        <w:pStyle w:val="BodyText"/>
        <w:rPr>
          <w:rFonts w:asciiTheme="minorHAnsi" w:hAnsiTheme="minorHAnsi" w:cstheme="minorHAnsi"/>
          <w:noProof w:val="0"/>
          <w:szCs w:val="22"/>
          <w:lang w:val="de-DE"/>
        </w:rPr>
      </w:pPr>
    </w:p>
    <w:p w14:paraId="73C9BE58" w14:textId="77777777" w:rsidR="00A173F6" w:rsidRDefault="00A173F6" w:rsidP="00A173F6">
      <w:pPr>
        <w:pStyle w:val="BodyText"/>
        <w:rPr>
          <w:rFonts w:asciiTheme="minorHAnsi" w:hAnsiTheme="minorHAnsi" w:cstheme="minorBidi"/>
          <w:noProof w:val="0"/>
          <w:lang w:val="de-DE"/>
        </w:rPr>
      </w:pPr>
      <w:r>
        <w:rPr>
          <w:rFonts w:asciiTheme="minorHAnsi" w:hAnsiTheme="minorHAnsi" w:cstheme="minorBidi"/>
          <w:noProof w:val="0"/>
          <w:lang w:val="de-DE"/>
        </w:rPr>
        <w:t>Diese Preissteigerungen sind auf die gestiegenen Rohstoff-, Material-, Energie- und Lohnkosten zurückzuführen, unter anderem angeheizt durch die hohe Inflation und den Krieg in der Ukraine.</w:t>
      </w:r>
    </w:p>
    <w:p w14:paraId="1D982683" w14:textId="77777777" w:rsidR="00A173F6" w:rsidRDefault="00A173F6" w:rsidP="00A173F6">
      <w:pPr>
        <w:pStyle w:val="BodyText"/>
        <w:rPr>
          <w:rFonts w:asciiTheme="minorHAnsi" w:hAnsiTheme="minorHAnsi" w:cstheme="minorHAnsi"/>
          <w:noProof w:val="0"/>
          <w:szCs w:val="22"/>
          <w:lang w:val="de-DE"/>
        </w:rPr>
      </w:pPr>
    </w:p>
    <w:p w14:paraId="306A9F19" w14:textId="17AD89FB" w:rsidR="00D16ED2" w:rsidRPr="00A173F6" w:rsidRDefault="00A173F6" w:rsidP="00D16ED2">
      <w:pPr>
        <w:pStyle w:val="BodyText"/>
        <w:rPr>
          <w:rFonts w:asciiTheme="minorHAnsi" w:hAnsiTheme="minorHAnsi" w:cstheme="minorBidi"/>
          <w:noProof w:val="0"/>
          <w:lang w:val="de-DE"/>
        </w:rPr>
      </w:pPr>
      <w:r>
        <w:rPr>
          <w:rFonts w:asciiTheme="minorHAnsi" w:hAnsiTheme="minorHAnsi" w:cstheme="minorBidi"/>
          <w:noProof w:val="0"/>
          <w:lang w:val="de-DE"/>
        </w:rPr>
        <w:t xml:space="preserve">Büro- und Einzelhandelsmöbel verzeichneten eine markante Umsatzsteigerung, sowohl im Jahr 2021 als auch im ersten Halbjahr 2022. Wohnmöbel erlebten mit einem Plus von knapp unter 15% ein gutes Jahr 2021, aber in der ersten Jahreshälfte 2022 war die Aktivität etwas rückläufig und ergab eine bescheidene Umsatzsteigerung von 1,9%. Küchenmöbel bleiben populär und die Volumen blieben auf </w:t>
      </w:r>
      <w:r>
        <w:rPr>
          <w:rFonts w:asciiTheme="minorHAnsi" w:hAnsiTheme="minorHAnsi" w:cstheme="minorBidi"/>
          <w:noProof w:val="0"/>
          <w:lang w:val="de-DE"/>
        </w:rPr>
        <w:lastRenderedPageBreak/>
        <w:t xml:space="preserve">dem gleichen Niveau. Eine auffallende Feststellung ist der Rückgang bei Matratzen und Bettböden, sowohl im Jahr 2021 als auch in der erste Jahreshälfte 2022, jedenfalls den offizielle Statistiken zufolge. </w:t>
      </w:r>
    </w:p>
    <w:p w14:paraId="05664782" w14:textId="77777777" w:rsidR="00D16ED2" w:rsidRPr="006C42FE" w:rsidRDefault="00D16ED2" w:rsidP="00D16ED2">
      <w:pPr>
        <w:pStyle w:val="BodyText"/>
        <w:rPr>
          <w:rFonts w:asciiTheme="minorHAnsi" w:hAnsiTheme="minorHAnsi" w:cstheme="minorHAnsi"/>
          <w:highlight w:val="yellow"/>
          <w:lang w:val="de-DE"/>
        </w:rPr>
      </w:pPr>
    </w:p>
    <w:p w14:paraId="3FD1F1A6" w14:textId="77777777" w:rsidR="00D16ED2" w:rsidRPr="006C42FE" w:rsidRDefault="00D16ED2" w:rsidP="00D16ED2">
      <w:pPr>
        <w:pStyle w:val="BodyText"/>
        <w:rPr>
          <w:rFonts w:asciiTheme="minorHAnsi" w:hAnsiTheme="minorHAnsi" w:cstheme="minorHAnsi"/>
          <w:lang w:val="de-DE"/>
        </w:rPr>
      </w:pPr>
    </w:p>
    <w:p w14:paraId="76932405" w14:textId="78F7C736" w:rsidR="00A173F6" w:rsidRDefault="00A173F6" w:rsidP="00A173F6">
      <w:pPr>
        <w:rPr>
          <w:rFonts w:cstheme="minorHAnsi"/>
          <w:sz w:val="16"/>
          <w:szCs w:val="10"/>
          <w:lang w:val="de-DE"/>
        </w:rPr>
      </w:pPr>
      <w:r>
        <w:rPr>
          <w:rFonts w:cstheme="minorHAnsi"/>
          <w:noProof/>
          <w:sz w:val="16"/>
          <w:szCs w:val="10"/>
          <w:lang w:val="de-DE"/>
        </w:rPr>
        <w:drawing>
          <wp:inline distT="0" distB="0" distL="0" distR="0" wp14:anchorId="4A7B4858" wp14:editId="1294FE98">
            <wp:extent cx="5772150" cy="2476500"/>
            <wp:effectExtent l="0" t="0" r="0" b="0"/>
            <wp:docPr id="2" name="Grafiek 2">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D9BBAC" w14:textId="77777777" w:rsidR="00A173F6" w:rsidRDefault="00A173F6" w:rsidP="00A173F6">
      <w:pPr>
        <w:ind w:firstLine="567"/>
        <w:rPr>
          <w:rFonts w:cstheme="minorHAnsi"/>
          <w:sz w:val="16"/>
          <w:szCs w:val="10"/>
          <w:lang w:val="de-DE"/>
        </w:rPr>
      </w:pPr>
      <w:r>
        <w:rPr>
          <w:rFonts w:cstheme="minorHAnsi"/>
          <w:sz w:val="16"/>
          <w:szCs w:val="10"/>
          <w:lang w:val="de-DE"/>
        </w:rPr>
        <w:t xml:space="preserve">Quelle: Belgisches Finanzministerium, Umsatzsteuererklärungen </w:t>
      </w:r>
    </w:p>
    <w:p w14:paraId="0D015FAC" w14:textId="77777777" w:rsidR="00A173F6" w:rsidRDefault="00A173F6" w:rsidP="00A173F6">
      <w:pPr>
        <w:pStyle w:val="BodyText"/>
        <w:rPr>
          <w:rFonts w:asciiTheme="minorHAnsi" w:hAnsiTheme="minorHAnsi" w:cstheme="minorHAnsi"/>
          <w:noProof w:val="0"/>
          <w:lang w:val="de-DE"/>
        </w:rPr>
      </w:pPr>
    </w:p>
    <w:p w14:paraId="08C00714" w14:textId="77777777" w:rsidR="00A173F6" w:rsidRDefault="00A173F6" w:rsidP="00A173F6">
      <w:pPr>
        <w:pStyle w:val="BodyText"/>
        <w:rPr>
          <w:rFonts w:asciiTheme="minorHAnsi" w:hAnsiTheme="minorHAnsi" w:cstheme="minorHAnsi"/>
          <w:b/>
          <w:bCs/>
          <w:noProof w:val="0"/>
          <w:u w:val="single"/>
          <w:lang w:val="de-DE"/>
        </w:rPr>
      </w:pPr>
      <w:r>
        <w:rPr>
          <w:rFonts w:ascii="Calibri" w:hAnsi="Calibri" w:cstheme="minorHAnsi"/>
          <w:b/>
          <w:bCs/>
          <w:noProof w:val="0"/>
          <w:u w:val="single"/>
          <w:lang w:val="de-DE"/>
        </w:rPr>
        <w:t>Investitionen und Auslastungsgrad der Produktionskapazität</w:t>
      </w:r>
    </w:p>
    <w:p w14:paraId="49BD13F5" w14:textId="77777777" w:rsidR="00D16ED2" w:rsidRPr="00A173F6" w:rsidRDefault="00D16ED2" w:rsidP="00D16ED2">
      <w:pPr>
        <w:pStyle w:val="BodyText"/>
        <w:rPr>
          <w:rFonts w:asciiTheme="minorHAnsi" w:hAnsiTheme="minorHAnsi" w:cstheme="minorHAnsi"/>
          <w:sz w:val="20"/>
          <w:highlight w:val="yellow"/>
          <w:lang w:val="de-DE"/>
        </w:rPr>
      </w:pPr>
    </w:p>
    <w:p w14:paraId="48034540" w14:textId="77777777" w:rsidR="00A173F6" w:rsidRDefault="00A173F6" w:rsidP="00A173F6">
      <w:pPr>
        <w:pStyle w:val="BodyText"/>
        <w:rPr>
          <w:rFonts w:asciiTheme="minorHAnsi" w:hAnsiTheme="minorHAnsi" w:cstheme="minorHAnsi"/>
          <w:noProof w:val="0"/>
          <w:lang w:val="de-DE"/>
        </w:rPr>
      </w:pPr>
      <w:r>
        <w:rPr>
          <w:rFonts w:asciiTheme="minorHAnsi" w:hAnsiTheme="minorHAnsi" w:cstheme="minorHAnsi"/>
          <w:noProof w:val="0"/>
          <w:lang w:val="de-DE"/>
        </w:rPr>
        <w:t>Im ersten Halbjahr 2022 investierte die belgische Möbelindustrie 37,5 Millionen Euro, was einen Rückgang von 1,3% im Vergleich zum selben Zeitraum 2021 bedeutet. 2021 wurden insgesamt 74,5 Millionen Euro investiert und blieb das Investitionsvolumen im Vergleich zum vorhergehenden Jahr auf demselben Niveau.</w:t>
      </w:r>
    </w:p>
    <w:p w14:paraId="40847401" w14:textId="77777777" w:rsidR="00A173F6" w:rsidRDefault="00A173F6" w:rsidP="00A173F6">
      <w:pPr>
        <w:pStyle w:val="BodyText"/>
        <w:rPr>
          <w:rFonts w:asciiTheme="minorHAnsi" w:hAnsiTheme="minorHAnsi" w:cstheme="minorHAnsi"/>
          <w:noProof w:val="0"/>
          <w:lang w:val="de-DE"/>
        </w:rPr>
      </w:pPr>
    </w:p>
    <w:p w14:paraId="34631657" w14:textId="77777777" w:rsidR="00A173F6" w:rsidRDefault="00A173F6" w:rsidP="00A173F6">
      <w:pPr>
        <w:pStyle w:val="BodyText"/>
        <w:rPr>
          <w:rFonts w:asciiTheme="minorHAnsi" w:hAnsiTheme="minorHAnsi" w:cstheme="minorBidi"/>
          <w:noProof w:val="0"/>
          <w:lang w:val="de-DE"/>
        </w:rPr>
      </w:pPr>
      <w:r>
        <w:rPr>
          <w:rFonts w:asciiTheme="minorHAnsi" w:hAnsiTheme="minorHAnsi" w:cstheme="minorBidi"/>
          <w:noProof w:val="0"/>
          <w:lang w:val="de-DE"/>
        </w:rPr>
        <w:t>Der Subsektor von Matratzen und Bettböden konnte im Hinblick auf Investitionen in der ersten Jahreshälfte 2022 aufholen. In nur 6 Monaten wurden bereits mehr als 75% des Investitionsvolumens des Jahres 2021 erreicht. Die Investitionsbereitschaft im Teilsektor der Küchenmöbel bleibt schwach (-4,9% im ersten Halbjahr 2022 im Vergleich zum selben Zeitraum des vorhergehenden Jahres).</w:t>
      </w:r>
    </w:p>
    <w:p w14:paraId="585CE87D" w14:textId="77777777" w:rsidR="00A173F6" w:rsidRDefault="00A173F6" w:rsidP="00A173F6">
      <w:pPr>
        <w:pStyle w:val="BodyText"/>
        <w:rPr>
          <w:rFonts w:asciiTheme="minorHAnsi" w:hAnsiTheme="minorHAnsi" w:cstheme="minorHAnsi"/>
          <w:noProof w:val="0"/>
          <w:lang w:val="de-D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5"/>
        <w:gridCol w:w="851"/>
        <w:gridCol w:w="850"/>
        <w:gridCol w:w="992"/>
        <w:gridCol w:w="993"/>
        <w:gridCol w:w="1134"/>
        <w:gridCol w:w="1275"/>
      </w:tblGrid>
      <w:tr w:rsidR="00A173F6" w:rsidRPr="006C42FE" w14:paraId="351B9B1B" w14:textId="77777777" w:rsidTr="00A173F6">
        <w:tc>
          <w:tcPr>
            <w:tcW w:w="9062" w:type="dxa"/>
            <w:gridSpan w:val="7"/>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7F4FD7ED" w14:textId="77777777" w:rsidR="00A173F6" w:rsidRDefault="00A173F6">
            <w:pPr>
              <w:pStyle w:val="BodyText"/>
              <w:jc w:val="center"/>
              <w:rPr>
                <w:rFonts w:asciiTheme="minorHAnsi" w:hAnsiTheme="minorHAnsi" w:cstheme="minorHAnsi"/>
                <w:noProof w:val="0"/>
                <w:sz w:val="20"/>
                <w:lang w:val="de-DE"/>
              </w:rPr>
            </w:pPr>
            <w:r>
              <w:rPr>
                <w:rFonts w:ascii="Calibri" w:hAnsi="Calibri" w:cstheme="minorHAnsi"/>
                <w:b/>
                <w:bCs/>
                <w:noProof w:val="0"/>
                <w:sz w:val="20"/>
                <w:lang w:val="de-DE"/>
              </w:rPr>
              <w:t>Entwicklung der Investitionen in der Möbelindustrie</w:t>
            </w:r>
          </w:p>
        </w:tc>
      </w:tr>
      <w:tr w:rsidR="00A173F6" w14:paraId="4D6843CC" w14:textId="77777777" w:rsidTr="00A173F6">
        <w:tc>
          <w:tcPr>
            <w:tcW w:w="2967"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7F1A25F5" w14:textId="77777777" w:rsidR="00A173F6" w:rsidRDefault="00A173F6">
            <w:pPr>
              <w:pStyle w:val="BodyText"/>
              <w:jc w:val="center"/>
              <w:rPr>
                <w:rFonts w:asciiTheme="minorHAnsi" w:hAnsiTheme="minorHAnsi" w:cstheme="minorHAnsi"/>
                <w:b/>
                <w:noProof w:val="0"/>
                <w:sz w:val="20"/>
                <w:lang w:val="de-DE"/>
              </w:rPr>
            </w:pPr>
            <w:r>
              <w:rPr>
                <w:rFonts w:ascii="Calibri" w:hAnsi="Calibri" w:cstheme="minorHAnsi"/>
                <w:b/>
                <w:bCs/>
                <w:noProof w:val="0"/>
                <w:sz w:val="20"/>
                <w:lang w:val="de-DE"/>
              </w:rPr>
              <w:t>In Millionen EUR</w:t>
            </w:r>
          </w:p>
        </w:tc>
        <w:tc>
          <w:tcPr>
            <w:tcW w:w="851"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92F2F53"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2020</w:t>
            </w:r>
          </w:p>
        </w:tc>
        <w:tc>
          <w:tcPr>
            <w:tcW w:w="850"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2375ECB"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2021</w:t>
            </w:r>
          </w:p>
        </w:tc>
        <w:tc>
          <w:tcPr>
            <w:tcW w:w="992"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713C4AD7"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21/20</w:t>
            </w:r>
          </w:p>
        </w:tc>
        <w:tc>
          <w:tcPr>
            <w:tcW w:w="9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11003AE"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6 m 21</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E6A0180"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6 m 22*</w:t>
            </w:r>
          </w:p>
        </w:tc>
        <w:tc>
          <w:tcPr>
            <w:tcW w:w="127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53C87CCA"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6 m 22/21*</w:t>
            </w:r>
          </w:p>
        </w:tc>
      </w:tr>
      <w:tr w:rsidR="00A173F6" w14:paraId="25DD78F6" w14:textId="77777777" w:rsidTr="00A173F6">
        <w:tc>
          <w:tcPr>
            <w:tcW w:w="2967"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3FDD0F6" w14:textId="77777777" w:rsidR="00A173F6" w:rsidRDefault="00A173F6">
            <w:pPr>
              <w:pStyle w:val="BodyText"/>
              <w:jc w:val="left"/>
              <w:rPr>
                <w:rFonts w:asciiTheme="minorHAnsi" w:hAnsiTheme="minorHAnsi" w:cstheme="minorHAnsi"/>
                <w:noProof w:val="0"/>
                <w:sz w:val="20"/>
                <w:lang w:val="de-DE"/>
              </w:rPr>
            </w:pPr>
            <w:r>
              <w:rPr>
                <w:rFonts w:asciiTheme="minorHAnsi" w:hAnsiTheme="minorHAnsi" w:cstheme="minorHAnsi"/>
                <w:noProof w:val="0"/>
                <w:sz w:val="20"/>
                <w:lang w:val="de-DE"/>
              </w:rPr>
              <w:t>Stühle und Sitzmöbel, Esszimmer-, Schlafzimmer-, Garten- und Terrassenmöbeln</w:t>
            </w:r>
          </w:p>
        </w:tc>
        <w:tc>
          <w:tcPr>
            <w:tcW w:w="851"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B463DC4"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35,7</w:t>
            </w:r>
          </w:p>
        </w:tc>
        <w:tc>
          <w:tcPr>
            <w:tcW w:w="850"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0BC5E39"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40,0</w:t>
            </w:r>
          </w:p>
        </w:tc>
        <w:tc>
          <w:tcPr>
            <w:tcW w:w="992"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5777844"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+12,0%</w:t>
            </w:r>
          </w:p>
        </w:tc>
        <w:tc>
          <w:tcPr>
            <w:tcW w:w="9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34D8E17"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20,5</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7150C379"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19,1</w:t>
            </w:r>
          </w:p>
        </w:tc>
        <w:tc>
          <w:tcPr>
            <w:tcW w:w="127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267DEDC"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-6,8%</w:t>
            </w:r>
          </w:p>
        </w:tc>
      </w:tr>
      <w:tr w:rsidR="00A173F6" w14:paraId="60FBDAB2" w14:textId="77777777" w:rsidTr="00A173F6">
        <w:tc>
          <w:tcPr>
            <w:tcW w:w="2967"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C764371" w14:textId="77777777" w:rsidR="00A173F6" w:rsidRDefault="00A173F6">
            <w:pPr>
              <w:pStyle w:val="BodyText"/>
              <w:rPr>
                <w:rFonts w:asciiTheme="minorHAnsi" w:hAnsiTheme="minorHAnsi" w:cstheme="minorHAnsi"/>
                <w:noProof w:val="0"/>
                <w:sz w:val="20"/>
                <w:lang w:val="de-DE"/>
              </w:rPr>
            </w:pPr>
            <w:r>
              <w:rPr>
                <w:rFonts w:asciiTheme="minorHAnsi" w:hAnsiTheme="minorHAnsi" w:cstheme="minorHAnsi"/>
                <w:noProof w:val="0"/>
                <w:sz w:val="20"/>
                <w:lang w:val="de-DE"/>
              </w:rPr>
              <w:t>Büro- und Einzelhandelsmobiliar</w:t>
            </w:r>
          </w:p>
        </w:tc>
        <w:tc>
          <w:tcPr>
            <w:tcW w:w="851"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0062A3B"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8,7</w:t>
            </w:r>
          </w:p>
        </w:tc>
        <w:tc>
          <w:tcPr>
            <w:tcW w:w="850"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78EEDA8"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10,2</w:t>
            </w:r>
          </w:p>
        </w:tc>
        <w:tc>
          <w:tcPr>
            <w:tcW w:w="992"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13FFFCD"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+17,2%</w:t>
            </w:r>
          </w:p>
        </w:tc>
        <w:tc>
          <w:tcPr>
            <w:tcW w:w="9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7F453708"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5,3</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D5D2CC3"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5,4</w:t>
            </w:r>
          </w:p>
        </w:tc>
        <w:tc>
          <w:tcPr>
            <w:tcW w:w="127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A8AFC40"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+1,9%</w:t>
            </w:r>
          </w:p>
        </w:tc>
      </w:tr>
      <w:tr w:rsidR="00A173F6" w14:paraId="217F52B0" w14:textId="77777777" w:rsidTr="00A173F6">
        <w:tc>
          <w:tcPr>
            <w:tcW w:w="2967"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901C863" w14:textId="77777777" w:rsidR="00A173F6" w:rsidRDefault="00A173F6">
            <w:pPr>
              <w:pStyle w:val="BodyText"/>
              <w:rPr>
                <w:rFonts w:asciiTheme="minorHAnsi" w:hAnsiTheme="minorHAnsi" w:cstheme="minorHAnsi"/>
                <w:noProof w:val="0"/>
                <w:sz w:val="20"/>
                <w:lang w:val="de-DE"/>
              </w:rPr>
            </w:pPr>
            <w:r>
              <w:rPr>
                <w:rFonts w:asciiTheme="minorHAnsi" w:hAnsiTheme="minorHAnsi" w:cstheme="minorHAnsi"/>
                <w:noProof w:val="0"/>
                <w:sz w:val="20"/>
                <w:lang w:val="de-DE"/>
              </w:rPr>
              <w:t>Küchenmöbel</w:t>
            </w:r>
          </w:p>
        </w:tc>
        <w:tc>
          <w:tcPr>
            <w:tcW w:w="851"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471631F"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20,8</w:t>
            </w:r>
          </w:p>
        </w:tc>
        <w:tc>
          <w:tcPr>
            <w:tcW w:w="850"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5CF457FA"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17,5</w:t>
            </w:r>
          </w:p>
        </w:tc>
        <w:tc>
          <w:tcPr>
            <w:tcW w:w="992"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4E0091C"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-15,9%</w:t>
            </w:r>
          </w:p>
        </w:tc>
        <w:tc>
          <w:tcPr>
            <w:tcW w:w="9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1CA313E"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8,2</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04CFE89A"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7,8</w:t>
            </w:r>
          </w:p>
        </w:tc>
        <w:tc>
          <w:tcPr>
            <w:tcW w:w="127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71AFD97"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-4,9%</w:t>
            </w:r>
          </w:p>
        </w:tc>
      </w:tr>
      <w:tr w:rsidR="00A173F6" w14:paraId="17C8E357" w14:textId="77777777" w:rsidTr="00A173F6">
        <w:tc>
          <w:tcPr>
            <w:tcW w:w="2967"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C93F2B2" w14:textId="77777777" w:rsidR="00A173F6" w:rsidRDefault="00A173F6">
            <w:pPr>
              <w:pStyle w:val="BodyText"/>
              <w:rPr>
                <w:rFonts w:asciiTheme="minorHAnsi" w:hAnsiTheme="minorHAnsi" w:cstheme="minorHAnsi"/>
                <w:noProof w:val="0"/>
                <w:sz w:val="20"/>
                <w:lang w:val="de-DE"/>
              </w:rPr>
            </w:pPr>
            <w:r>
              <w:rPr>
                <w:rFonts w:asciiTheme="minorHAnsi" w:hAnsiTheme="minorHAnsi" w:cstheme="minorHAnsi"/>
                <w:noProof w:val="0"/>
                <w:sz w:val="20"/>
                <w:lang w:val="de-DE"/>
              </w:rPr>
              <w:t>Matratzen und Bettgestelle</w:t>
            </w:r>
          </w:p>
        </w:tc>
        <w:tc>
          <w:tcPr>
            <w:tcW w:w="851"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2D25874"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8,2</w:t>
            </w:r>
          </w:p>
        </w:tc>
        <w:tc>
          <w:tcPr>
            <w:tcW w:w="850"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A98200D"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6,8</w:t>
            </w:r>
          </w:p>
        </w:tc>
        <w:tc>
          <w:tcPr>
            <w:tcW w:w="992"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59125841"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-17,1%</w:t>
            </w:r>
          </w:p>
        </w:tc>
        <w:tc>
          <w:tcPr>
            <w:tcW w:w="9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2FD0A508"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4,0</w:t>
            </w:r>
          </w:p>
        </w:tc>
        <w:tc>
          <w:tcPr>
            <w:tcW w:w="1134"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72580190" w14:textId="77777777" w:rsidR="00A173F6" w:rsidRDefault="00A173F6">
            <w:pPr>
              <w:pStyle w:val="BodyText"/>
              <w:jc w:val="right"/>
              <w:rPr>
                <w:rFonts w:asciiTheme="minorHAnsi" w:hAnsiTheme="minorHAnsi" w:cstheme="minorHAnsi"/>
                <w:noProof w:val="0"/>
                <w:sz w:val="20"/>
                <w:lang w:val="de-DE"/>
              </w:rPr>
            </w:pPr>
            <w:r>
              <w:rPr>
                <w:rFonts w:asciiTheme="minorHAnsi" w:hAnsiTheme="minorHAnsi" w:cstheme="minorHAnsi"/>
                <w:noProof w:val="0"/>
                <w:sz w:val="20"/>
                <w:lang w:val="de-DE"/>
              </w:rPr>
              <w:t>5,2</w:t>
            </w:r>
          </w:p>
        </w:tc>
        <w:tc>
          <w:tcPr>
            <w:tcW w:w="127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540F377"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+30,0%</w:t>
            </w:r>
          </w:p>
        </w:tc>
      </w:tr>
      <w:tr w:rsidR="00A173F6" w14:paraId="62964C49" w14:textId="77777777" w:rsidTr="00A173F6">
        <w:tc>
          <w:tcPr>
            <w:tcW w:w="2967"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10C6428C" w14:textId="77777777" w:rsidR="00A173F6" w:rsidRDefault="00A173F6">
            <w:pPr>
              <w:pStyle w:val="BodyText"/>
              <w:rPr>
                <w:rFonts w:asciiTheme="minorHAnsi" w:hAnsiTheme="minorHAnsi" w:cstheme="minorHAnsi"/>
                <w:b/>
                <w:noProof w:val="0"/>
                <w:sz w:val="20"/>
                <w:lang w:val="de-DE"/>
              </w:rPr>
            </w:pPr>
            <w:r>
              <w:rPr>
                <w:rFonts w:ascii="Calibri" w:hAnsi="Calibri" w:cstheme="minorHAnsi"/>
                <w:b/>
                <w:bCs/>
                <w:noProof w:val="0"/>
                <w:sz w:val="20"/>
                <w:lang w:val="de-DE"/>
              </w:rPr>
              <w:t>Gesamte Möbelindustrie</w:t>
            </w:r>
            <w:r>
              <w:rPr>
                <w:rFonts w:ascii="Calibri" w:hAnsi="Calibri" w:cstheme="minorHAnsi"/>
                <w:bCs/>
                <w:noProof w:val="0"/>
                <w:sz w:val="20"/>
                <w:lang w:val="de-DE"/>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20F3A258"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73,4</w:t>
            </w:r>
          </w:p>
        </w:tc>
        <w:tc>
          <w:tcPr>
            <w:tcW w:w="850"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3DA7C743"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74,5</w:t>
            </w:r>
          </w:p>
        </w:tc>
        <w:tc>
          <w:tcPr>
            <w:tcW w:w="992"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68941F24"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+1,5%</w:t>
            </w:r>
          </w:p>
        </w:tc>
        <w:tc>
          <w:tcPr>
            <w:tcW w:w="993"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157BA510"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38,0</w:t>
            </w:r>
          </w:p>
        </w:tc>
        <w:tc>
          <w:tcPr>
            <w:tcW w:w="1134"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43780964"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37,5</w:t>
            </w:r>
          </w:p>
        </w:tc>
        <w:tc>
          <w:tcPr>
            <w:tcW w:w="1275"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6F0D0C1B" w14:textId="77777777" w:rsidR="00A173F6" w:rsidRDefault="00A173F6">
            <w:pPr>
              <w:pStyle w:val="BodyText"/>
              <w:jc w:val="right"/>
              <w:rPr>
                <w:rFonts w:asciiTheme="minorHAnsi" w:hAnsiTheme="minorHAnsi" w:cstheme="minorHAnsi"/>
                <w:b/>
                <w:noProof w:val="0"/>
                <w:sz w:val="20"/>
                <w:lang w:val="de-DE"/>
              </w:rPr>
            </w:pPr>
            <w:r>
              <w:rPr>
                <w:rFonts w:ascii="Calibri" w:hAnsi="Calibri" w:cstheme="minorHAnsi"/>
                <w:b/>
                <w:bCs/>
                <w:noProof w:val="0"/>
                <w:sz w:val="20"/>
                <w:lang w:val="de-DE"/>
              </w:rPr>
              <w:t>-1,3%</w:t>
            </w:r>
          </w:p>
        </w:tc>
      </w:tr>
    </w:tbl>
    <w:p w14:paraId="3AF97CB0" w14:textId="77777777" w:rsidR="00A173F6" w:rsidRDefault="00A173F6" w:rsidP="00A173F6">
      <w:pPr>
        <w:pStyle w:val="BodyText"/>
        <w:tabs>
          <w:tab w:val="left" w:pos="567"/>
        </w:tabs>
        <w:rPr>
          <w:rFonts w:asciiTheme="minorHAnsi" w:hAnsiTheme="minorHAnsi" w:cstheme="minorHAnsi"/>
          <w:noProof w:val="0"/>
          <w:sz w:val="16"/>
          <w:szCs w:val="16"/>
          <w:lang w:val="de-DE"/>
        </w:rPr>
      </w:pPr>
      <w:r>
        <w:rPr>
          <w:rFonts w:asciiTheme="minorHAnsi" w:hAnsiTheme="minorHAnsi" w:cstheme="minorHAnsi"/>
          <w:noProof w:val="0"/>
          <w:sz w:val="16"/>
          <w:szCs w:val="16"/>
          <w:lang w:val="de-DE"/>
        </w:rPr>
        <w:t xml:space="preserve">Quelle: Belgisches Finanzministerium, Umsatzsteuererklärungen </w:t>
      </w:r>
    </w:p>
    <w:p w14:paraId="1031428F" w14:textId="77777777" w:rsidR="00A173F6" w:rsidRDefault="00A173F6" w:rsidP="00A173F6">
      <w:pPr>
        <w:pStyle w:val="BodyText"/>
        <w:tabs>
          <w:tab w:val="left" w:pos="567"/>
        </w:tabs>
        <w:rPr>
          <w:rFonts w:asciiTheme="minorHAnsi" w:hAnsiTheme="minorHAnsi" w:cstheme="minorHAnsi"/>
          <w:noProof w:val="0"/>
          <w:sz w:val="18"/>
          <w:szCs w:val="18"/>
          <w:lang w:val="de-DE"/>
        </w:rPr>
      </w:pPr>
      <w:r>
        <w:rPr>
          <w:rFonts w:asciiTheme="minorHAnsi" w:hAnsiTheme="minorHAnsi" w:cstheme="minorHAnsi"/>
          <w:noProof w:val="0"/>
          <w:sz w:val="18"/>
          <w:szCs w:val="18"/>
          <w:lang w:val="de-DE"/>
        </w:rPr>
        <w:t>* Vorläufige Angaben</w:t>
      </w:r>
    </w:p>
    <w:p w14:paraId="4CD31A86" w14:textId="77777777" w:rsidR="00A173F6" w:rsidRDefault="00A173F6" w:rsidP="00A173F6">
      <w:pPr>
        <w:pStyle w:val="BodyText"/>
        <w:tabs>
          <w:tab w:val="left" w:pos="567"/>
        </w:tabs>
        <w:rPr>
          <w:rFonts w:asciiTheme="minorHAnsi" w:hAnsiTheme="minorHAnsi" w:cstheme="minorHAnsi"/>
          <w:noProof w:val="0"/>
          <w:sz w:val="18"/>
          <w:szCs w:val="18"/>
          <w:lang w:val="de-DE"/>
        </w:rPr>
      </w:pPr>
    </w:p>
    <w:p w14:paraId="59AD77D2" w14:textId="77777777" w:rsidR="00A173F6" w:rsidRDefault="00A173F6" w:rsidP="00A173F6">
      <w:pPr>
        <w:pStyle w:val="BodyText"/>
        <w:rPr>
          <w:rFonts w:asciiTheme="minorHAnsi" w:hAnsiTheme="minorHAnsi" w:cstheme="minorBidi"/>
          <w:noProof w:val="0"/>
          <w:lang w:val="de-DE"/>
        </w:rPr>
      </w:pPr>
      <w:r>
        <w:rPr>
          <w:rFonts w:asciiTheme="minorHAnsi" w:hAnsiTheme="minorHAnsi" w:cstheme="minorBidi"/>
          <w:noProof w:val="0"/>
          <w:lang w:val="de-DE"/>
        </w:rPr>
        <w:t>Der Auslastungsgrad der Produktionskapazität in der belgischen Möbelindustrie blieb auch in schweren Zeiten hoch, und betrug im zweiten Quartal 2022 selbst 89%.</w:t>
      </w:r>
    </w:p>
    <w:p w14:paraId="6AC21A2E" w14:textId="77777777" w:rsidR="00D16ED2" w:rsidRPr="00A173F6" w:rsidRDefault="00D16ED2" w:rsidP="00D16ED2">
      <w:pPr>
        <w:pStyle w:val="BodyText"/>
        <w:rPr>
          <w:rFonts w:asciiTheme="minorHAnsi" w:hAnsiTheme="minorHAnsi" w:cstheme="minorHAnsi"/>
          <w:szCs w:val="22"/>
          <w:lang w:val="de-DE"/>
        </w:rPr>
      </w:pPr>
    </w:p>
    <w:p w14:paraId="18A91782" w14:textId="6ABA8AF9" w:rsidR="00922022" w:rsidRDefault="00922022" w:rsidP="00922022">
      <w:pPr>
        <w:pStyle w:val="BodyText"/>
        <w:jc w:val="center"/>
        <w:rPr>
          <w:rFonts w:asciiTheme="minorHAnsi" w:hAnsiTheme="minorHAnsi" w:cstheme="minorHAnsi"/>
          <w:noProof w:val="0"/>
          <w:szCs w:val="22"/>
          <w:lang w:val="de-DE"/>
        </w:rPr>
      </w:pPr>
      <w:r>
        <w:rPr>
          <w:rFonts w:ascii="Calibri" w:hAnsi="Calibri" w:cstheme="minorHAnsi"/>
          <w:b/>
          <w:bCs/>
          <w:noProof w:val="0"/>
          <w:sz w:val="24"/>
          <w:szCs w:val="22"/>
          <w:lang w:val="de-DE"/>
        </w:rPr>
        <w:lastRenderedPageBreak/>
        <w:t>Auslastungsgrad der Produktionskapazität in der belgischen Möbelindustrie</w:t>
      </w:r>
      <w:r>
        <w:rPr>
          <w:rFonts w:asciiTheme="minorHAnsi" w:hAnsiTheme="minorHAnsi" w:cstheme="minorHAnsi"/>
          <w:sz w:val="10"/>
          <w:szCs w:val="22"/>
          <w:lang w:val="de-DE"/>
        </w:rPr>
        <w:drawing>
          <wp:inline distT="0" distB="0" distL="0" distR="0" wp14:anchorId="63BE5AAA" wp14:editId="606DAE09">
            <wp:extent cx="6200775" cy="2609850"/>
            <wp:effectExtent l="0" t="0" r="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F79159" w14:textId="77777777" w:rsidR="00922022" w:rsidRDefault="00922022" w:rsidP="00922022">
      <w:pPr>
        <w:pStyle w:val="BodyText"/>
        <w:tabs>
          <w:tab w:val="left" w:pos="720"/>
        </w:tabs>
        <w:jc w:val="left"/>
        <w:rPr>
          <w:rFonts w:asciiTheme="minorHAnsi" w:hAnsiTheme="minorHAnsi" w:cstheme="minorHAnsi"/>
          <w:noProof w:val="0"/>
          <w:sz w:val="16"/>
          <w:szCs w:val="22"/>
          <w:lang w:val="de-DE"/>
        </w:rPr>
      </w:pPr>
      <w:r>
        <w:rPr>
          <w:rFonts w:asciiTheme="minorHAnsi" w:hAnsiTheme="minorHAnsi" w:cstheme="minorHAnsi"/>
          <w:noProof w:val="0"/>
          <w:sz w:val="16"/>
          <w:szCs w:val="22"/>
          <w:lang w:val="de-DE"/>
        </w:rPr>
        <w:t>Quelle: Belgische Nationalbank</w:t>
      </w:r>
    </w:p>
    <w:p w14:paraId="198FC2E0" w14:textId="77777777" w:rsidR="00922022" w:rsidRDefault="00922022" w:rsidP="00922022">
      <w:pPr>
        <w:pStyle w:val="BodyText"/>
        <w:rPr>
          <w:rFonts w:asciiTheme="minorHAnsi" w:hAnsiTheme="minorHAnsi" w:cstheme="minorHAnsi"/>
          <w:noProof w:val="0"/>
          <w:szCs w:val="22"/>
          <w:highlight w:val="yellow"/>
          <w:lang w:val="de-DE"/>
        </w:rPr>
      </w:pPr>
    </w:p>
    <w:p w14:paraId="3B33C00D" w14:textId="77777777" w:rsidR="00922022" w:rsidRDefault="00922022" w:rsidP="00922022">
      <w:pPr>
        <w:pStyle w:val="BodyText"/>
        <w:rPr>
          <w:rFonts w:asciiTheme="minorHAnsi" w:hAnsiTheme="minorHAnsi" w:cstheme="minorHAnsi"/>
          <w:b/>
          <w:bCs/>
          <w:noProof w:val="0"/>
          <w:u w:val="single"/>
          <w:lang w:val="de-DE"/>
        </w:rPr>
      </w:pPr>
      <w:r>
        <w:rPr>
          <w:rFonts w:ascii="Calibri" w:hAnsi="Calibri" w:cstheme="minorHAnsi"/>
          <w:b/>
          <w:bCs/>
          <w:noProof w:val="0"/>
          <w:u w:val="single"/>
          <w:lang w:val="de-DE"/>
        </w:rPr>
        <w:t>Beschäftigung im belgischen Möbelsektor</w:t>
      </w:r>
    </w:p>
    <w:p w14:paraId="4B5B80CC" w14:textId="77777777" w:rsidR="00922022" w:rsidRDefault="00922022" w:rsidP="00922022">
      <w:pPr>
        <w:pStyle w:val="BodyText"/>
        <w:rPr>
          <w:rFonts w:asciiTheme="minorHAnsi" w:hAnsiTheme="minorHAnsi" w:cstheme="minorHAnsi"/>
          <w:noProof w:val="0"/>
          <w:lang w:val="de-DE"/>
        </w:rPr>
      </w:pPr>
    </w:p>
    <w:p w14:paraId="1068F64B" w14:textId="77777777" w:rsidR="00922022" w:rsidRDefault="00922022" w:rsidP="00922022">
      <w:pPr>
        <w:pStyle w:val="BodyText"/>
        <w:rPr>
          <w:rFonts w:asciiTheme="minorHAnsi" w:hAnsiTheme="minorHAnsi" w:cstheme="minorBidi"/>
          <w:noProof w:val="0"/>
          <w:lang w:val="de-DE"/>
        </w:rPr>
      </w:pPr>
      <w:r>
        <w:rPr>
          <w:rFonts w:asciiTheme="minorHAnsi" w:hAnsiTheme="minorHAnsi" w:cstheme="minorBidi"/>
          <w:noProof w:val="0"/>
          <w:lang w:val="de-DE"/>
        </w:rPr>
        <w:t>719 Unternehmen beschäftigten im Jahr 2021 9.824 Mitarbeiter, was einen Rückgang um 82 Einheiten im Vergleich zum Jahr 2020 darstellt. Die Beschäftigung blieb folglich trotz der Coronakrise und unter anderem dank dem System der vorübergehenden Arbeitslosigkeit relativ stabil.</w:t>
      </w:r>
    </w:p>
    <w:p w14:paraId="25BD491B" w14:textId="77777777" w:rsidR="00922022" w:rsidRDefault="00922022" w:rsidP="00922022">
      <w:pPr>
        <w:pStyle w:val="BodyText"/>
        <w:rPr>
          <w:rFonts w:asciiTheme="minorHAnsi" w:hAnsiTheme="minorHAnsi" w:cstheme="minorHAnsi"/>
          <w:noProof w:val="0"/>
          <w:szCs w:val="22"/>
          <w:lang w:val="de-DE"/>
        </w:rPr>
      </w:pPr>
    </w:p>
    <w:p w14:paraId="69AA4A93" w14:textId="77777777" w:rsidR="00922022" w:rsidRDefault="00922022" w:rsidP="00922022">
      <w:pPr>
        <w:pStyle w:val="BodyText"/>
        <w:spacing w:line="256" w:lineRule="auto"/>
        <w:rPr>
          <w:rFonts w:asciiTheme="minorHAnsi" w:hAnsiTheme="minorHAnsi" w:cstheme="minorBidi"/>
          <w:noProof w:val="0"/>
          <w:lang w:val="de-DE"/>
        </w:rPr>
      </w:pPr>
      <w:r>
        <w:rPr>
          <w:rFonts w:asciiTheme="minorHAnsi" w:hAnsiTheme="minorHAnsi" w:cstheme="minorBidi"/>
          <w:noProof w:val="0"/>
          <w:lang w:val="de-DE"/>
        </w:rPr>
        <w:t>Unternehmen aus dem Möbelsektor suchen jedoch weiterhin permanent technisch ausgebildete Mitarbeiter, um den Abgang älterer Arbeitnehmer auszugleichen.</w:t>
      </w:r>
    </w:p>
    <w:p w14:paraId="7B020B87" w14:textId="66792AC2" w:rsidR="00922022" w:rsidRPr="004134EA" w:rsidRDefault="00922022" w:rsidP="004134EA">
      <w:pPr>
        <w:rPr>
          <w:rFonts w:cstheme="minorHAnsi"/>
          <w:lang w:val="de-DE"/>
        </w:rPr>
      </w:pPr>
      <w:r>
        <w:rPr>
          <w:rFonts w:ascii="Calibri" w:hAnsi="Calibri" w:cstheme="minorHAnsi"/>
          <w:b/>
          <w:bCs/>
          <w:u w:val="single"/>
          <w:lang w:val="de-DE"/>
        </w:rPr>
        <w:t>Verbrauchervertrauen erreicht historischen Tiefpunkt</w:t>
      </w:r>
    </w:p>
    <w:p w14:paraId="18813228" w14:textId="77777777" w:rsidR="00922022" w:rsidRDefault="00922022" w:rsidP="00922022">
      <w:pPr>
        <w:pStyle w:val="BodyText"/>
        <w:rPr>
          <w:rFonts w:asciiTheme="minorHAnsi" w:hAnsiTheme="minorHAnsi" w:cstheme="minorHAnsi"/>
          <w:noProof w:val="0"/>
          <w:lang w:val="de-DE"/>
        </w:rPr>
      </w:pPr>
    </w:p>
    <w:p w14:paraId="2F6DE29A" w14:textId="77777777" w:rsidR="00922022" w:rsidRDefault="00922022" w:rsidP="00922022">
      <w:pPr>
        <w:pStyle w:val="BodyText"/>
        <w:rPr>
          <w:rFonts w:asciiTheme="minorHAnsi" w:hAnsiTheme="minorHAnsi" w:cstheme="minorBidi"/>
          <w:noProof w:val="0"/>
          <w:lang w:val="de-DE"/>
        </w:rPr>
      </w:pPr>
      <w:r>
        <w:rPr>
          <w:rFonts w:asciiTheme="minorHAnsi" w:hAnsiTheme="minorHAnsi" w:cstheme="minorBidi"/>
          <w:noProof w:val="0"/>
          <w:lang w:val="de-DE"/>
        </w:rPr>
        <w:t>Das Vertrauen des belgischen und europäischen Verbrauchers ist im September 2022 auf einen historischen Tiefpunkt gesunken. Die hohe Inflation, die beispiellosen Energiepreise und die anhaltende Unsicherheit durch den Krieg in der Ukraine sind sicher damit in Zusammenhang zu bringen. Der Verbraucher ist dadurch zurückhaltender und hat eine eher abwartende Haltung im Hinblick auf den Kauf von Möbeln und Inneneinrichtung. Die Folgen für den Markt lassen sich unschwer raten.</w:t>
      </w:r>
    </w:p>
    <w:p w14:paraId="46362AD3" w14:textId="77777777" w:rsidR="00922022" w:rsidRDefault="00922022" w:rsidP="00922022">
      <w:pPr>
        <w:pStyle w:val="BodyText"/>
        <w:rPr>
          <w:rFonts w:asciiTheme="minorHAnsi" w:hAnsiTheme="minorHAnsi" w:cstheme="minorHAnsi"/>
          <w:noProof w:val="0"/>
          <w:sz w:val="6"/>
          <w:szCs w:val="4"/>
          <w:lang w:val="de-DE"/>
        </w:rPr>
      </w:pPr>
    </w:p>
    <w:p w14:paraId="4C2B23B9" w14:textId="77777777" w:rsidR="004134EA" w:rsidRDefault="004134EA" w:rsidP="00922022">
      <w:pPr>
        <w:pStyle w:val="BodyText"/>
        <w:jc w:val="center"/>
        <w:rPr>
          <w:rFonts w:ascii="Calibri" w:hAnsi="Calibri" w:cstheme="minorHAnsi"/>
          <w:b/>
          <w:bCs/>
          <w:noProof w:val="0"/>
          <w:sz w:val="20"/>
          <w:lang w:val="de-DE"/>
        </w:rPr>
      </w:pPr>
    </w:p>
    <w:p w14:paraId="41C0E6A1" w14:textId="77777777" w:rsidR="004134EA" w:rsidRDefault="004134EA" w:rsidP="00922022">
      <w:pPr>
        <w:pStyle w:val="BodyText"/>
        <w:jc w:val="center"/>
        <w:rPr>
          <w:rFonts w:ascii="Calibri" w:hAnsi="Calibri" w:cstheme="minorHAnsi"/>
          <w:b/>
          <w:bCs/>
          <w:noProof w:val="0"/>
          <w:sz w:val="20"/>
          <w:lang w:val="de-DE"/>
        </w:rPr>
      </w:pPr>
    </w:p>
    <w:p w14:paraId="15D6137F" w14:textId="77777777" w:rsidR="004134EA" w:rsidRDefault="004134EA" w:rsidP="00922022">
      <w:pPr>
        <w:pStyle w:val="BodyText"/>
        <w:jc w:val="center"/>
        <w:rPr>
          <w:rFonts w:ascii="Calibri" w:hAnsi="Calibri" w:cstheme="minorHAnsi"/>
          <w:b/>
          <w:bCs/>
          <w:noProof w:val="0"/>
          <w:sz w:val="20"/>
          <w:lang w:val="de-DE"/>
        </w:rPr>
      </w:pPr>
    </w:p>
    <w:p w14:paraId="0B57FDE4" w14:textId="77777777" w:rsidR="004134EA" w:rsidRDefault="004134EA" w:rsidP="00922022">
      <w:pPr>
        <w:pStyle w:val="BodyText"/>
        <w:jc w:val="center"/>
        <w:rPr>
          <w:rFonts w:ascii="Calibri" w:hAnsi="Calibri" w:cstheme="minorHAnsi"/>
          <w:b/>
          <w:bCs/>
          <w:noProof w:val="0"/>
          <w:sz w:val="20"/>
          <w:lang w:val="de-DE"/>
        </w:rPr>
      </w:pPr>
    </w:p>
    <w:p w14:paraId="0F2E8151" w14:textId="77777777" w:rsidR="004134EA" w:rsidRDefault="004134EA" w:rsidP="00922022">
      <w:pPr>
        <w:pStyle w:val="BodyText"/>
        <w:jc w:val="center"/>
        <w:rPr>
          <w:rFonts w:ascii="Calibri" w:hAnsi="Calibri" w:cstheme="minorHAnsi"/>
          <w:b/>
          <w:bCs/>
          <w:noProof w:val="0"/>
          <w:sz w:val="20"/>
          <w:lang w:val="de-DE"/>
        </w:rPr>
      </w:pPr>
    </w:p>
    <w:p w14:paraId="21E1E04B" w14:textId="77777777" w:rsidR="004134EA" w:rsidRDefault="004134EA" w:rsidP="00922022">
      <w:pPr>
        <w:pStyle w:val="BodyText"/>
        <w:jc w:val="center"/>
        <w:rPr>
          <w:rFonts w:ascii="Calibri" w:hAnsi="Calibri" w:cstheme="minorHAnsi"/>
          <w:b/>
          <w:bCs/>
          <w:noProof w:val="0"/>
          <w:sz w:val="20"/>
          <w:lang w:val="de-DE"/>
        </w:rPr>
      </w:pPr>
    </w:p>
    <w:p w14:paraId="7D75B7E7" w14:textId="77777777" w:rsidR="004134EA" w:rsidRDefault="004134EA" w:rsidP="00922022">
      <w:pPr>
        <w:pStyle w:val="BodyText"/>
        <w:jc w:val="center"/>
        <w:rPr>
          <w:rFonts w:ascii="Calibri" w:hAnsi="Calibri" w:cstheme="minorHAnsi"/>
          <w:b/>
          <w:bCs/>
          <w:noProof w:val="0"/>
          <w:sz w:val="20"/>
          <w:lang w:val="de-DE"/>
        </w:rPr>
      </w:pPr>
    </w:p>
    <w:p w14:paraId="7C966BD2" w14:textId="77777777" w:rsidR="004134EA" w:rsidRDefault="004134EA" w:rsidP="00922022">
      <w:pPr>
        <w:pStyle w:val="BodyText"/>
        <w:jc w:val="center"/>
        <w:rPr>
          <w:rFonts w:ascii="Calibri" w:hAnsi="Calibri" w:cstheme="minorHAnsi"/>
          <w:b/>
          <w:bCs/>
          <w:noProof w:val="0"/>
          <w:sz w:val="20"/>
          <w:lang w:val="de-DE"/>
        </w:rPr>
      </w:pPr>
    </w:p>
    <w:p w14:paraId="45DD4937" w14:textId="77777777" w:rsidR="004134EA" w:rsidRDefault="004134EA" w:rsidP="00922022">
      <w:pPr>
        <w:pStyle w:val="BodyText"/>
        <w:jc w:val="center"/>
        <w:rPr>
          <w:rFonts w:ascii="Calibri" w:hAnsi="Calibri" w:cstheme="minorHAnsi"/>
          <w:b/>
          <w:bCs/>
          <w:noProof w:val="0"/>
          <w:sz w:val="20"/>
          <w:lang w:val="de-DE"/>
        </w:rPr>
      </w:pPr>
    </w:p>
    <w:p w14:paraId="452D8717" w14:textId="77777777" w:rsidR="004134EA" w:rsidRDefault="004134EA" w:rsidP="00922022">
      <w:pPr>
        <w:pStyle w:val="BodyText"/>
        <w:jc w:val="center"/>
        <w:rPr>
          <w:rFonts w:ascii="Calibri" w:hAnsi="Calibri" w:cstheme="minorHAnsi"/>
          <w:b/>
          <w:bCs/>
          <w:noProof w:val="0"/>
          <w:sz w:val="20"/>
          <w:lang w:val="de-DE"/>
        </w:rPr>
      </w:pPr>
    </w:p>
    <w:p w14:paraId="7F986304" w14:textId="77777777" w:rsidR="004134EA" w:rsidRDefault="004134EA" w:rsidP="00922022">
      <w:pPr>
        <w:pStyle w:val="BodyText"/>
        <w:jc w:val="center"/>
        <w:rPr>
          <w:rFonts w:ascii="Calibri" w:hAnsi="Calibri" w:cstheme="minorHAnsi"/>
          <w:b/>
          <w:bCs/>
          <w:noProof w:val="0"/>
          <w:sz w:val="20"/>
          <w:lang w:val="de-DE"/>
        </w:rPr>
      </w:pPr>
    </w:p>
    <w:p w14:paraId="00FC499C" w14:textId="77777777" w:rsidR="004134EA" w:rsidRDefault="004134EA" w:rsidP="00922022">
      <w:pPr>
        <w:pStyle w:val="BodyText"/>
        <w:jc w:val="center"/>
        <w:rPr>
          <w:rFonts w:ascii="Calibri" w:hAnsi="Calibri" w:cstheme="minorHAnsi"/>
          <w:b/>
          <w:bCs/>
          <w:noProof w:val="0"/>
          <w:sz w:val="20"/>
          <w:lang w:val="de-DE"/>
        </w:rPr>
      </w:pPr>
    </w:p>
    <w:p w14:paraId="506540E2" w14:textId="77777777" w:rsidR="004134EA" w:rsidRDefault="004134EA" w:rsidP="00922022">
      <w:pPr>
        <w:pStyle w:val="BodyText"/>
        <w:jc w:val="center"/>
        <w:rPr>
          <w:rFonts w:ascii="Calibri" w:hAnsi="Calibri" w:cstheme="minorHAnsi"/>
          <w:b/>
          <w:bCs/>
          <w:noProof w:val="0"/>
          <w:sz w:val="20"/>
          <w:lang w:val="de-DE"/>
        </w:rPr>
      </w:pPr>
    </w:p>
    <w:p w14:paraId="0B9F5861" w14:textId="77777777" w:rsidR="004134EA" w:rsidRDefault="004134EA" w:rsidP="00922022">
      <w:pPr>
        <w:pStyle w:val="BodyText"/>
        <w:jc w:val="center"/>
        <w:rPr>
          <w:rFonts w:ascii="Calibri" w:hAnsi="Calibri" w:cstheme="minorHAnsi"/>
          <w:b/>
          <w:bCs/>
          <w:noProof w:val="0"/>
          <w:sz w:val="20"/>
          <w:lang w:val="de-DE"/>
        </w:rPr>
      </w:pPr>
    </w:p>
    <w:p w14:paraId="6BFA9749" w14:textId="77777777" w:rsidR="004134EA" w:rsidRDefault="004134EA" w:rsidP="00922022">
      <w:pPr>
        <w:pStyle w:val="BodyText"/>
        <w:jc w:val="center"/>
        <w:rPr>
          <w:rFonts w:ascii="Calibri" w:hAnsi="Calibri" w:cstheme="minorHAnsi"/>
          <w:b/>
          <w:bCs/>
          <w:noProof w:val="0"/>
          <w:sz w:val="20"/>
          <w:lang w:val="de-DE"/>
        </w:rPr>
      </w:pPr>
    </w:p>
    <w:p w14:paraId="72884C05" w14:textId="77777777" w:rsidR="004134EA" w:rsidRDefault="004134EA" w:rsidP="00922022">
      <w:pPr>
        <w:pStyle w:val="BodyText"/>
        <w:jc w:val="center"/>
        <w:rPr>
          <w:rFonts w:ascii="Calibri" w:hAnsi="Calibri" w:cstheme="minorHAnsi"/>
          <w:b/>
          <w:bCs/>
          <w:noProof w:val="0"/>
          <w:sz w:val="20"/>
          <w:lang w:val="de-DE"/>
        </w:rPr>
      </w:pPr>
    </w:p>
    <w:p w14:paraId="3A082503" w14:textId="77777777" w:rsidR="004134EA" w:rsidRDefault="004134EA" w:rsidP="00922022">
      <w:pPr>
        <w:pStyle w:val="BodyText"/>
        <w:jc w:val="center"/>
        <w:rPr>
          <w:rFonts w:ascii="Calibri" w:hAnsi="Calibri" w:cstheme="minorHAnsi"/>
          <w:b/>
          <w:bCs/>
          <w:noProof w:val="0"/>
          <w:sz w:val="20"/>
          <w:lang w:val="de-DE"/>
        </w:rPr>
      </w:pPr>
    </w:p>
    <w:p w14:paraId="1400C7CC" w14:textId="77777777" w:rsidR="004134EA" w:rsidRDefault="004134EA" w:rsidP="00922022">
      <w:pPr>
        <w:pStyle w:val="BodyText"/>
        <w:jc w:val="center"/>
        <w:rPr>
          <w:rFonts w:ascii="Calibri" w:hAnsi="Calibri" w:cstheme="minorHAnsi"/>
          <w:b/>
          <w:bCs/>
          <w:noProof w:val="0"/>
          <w:sz w:val="20"/>
          <w:lang w:val="de-DE"/>
        </w:rPr>
      </w:pPr>
    </w:p>
    <w:p w14:paraId="2558EAE9" w14:textId="77777777" w:rsidR="004134EA" w:rsidRDefault="004134EA" w:rsidP="00922022">
      <w:pPr>
        <w:pStyle w:val="BodyText"/>
        <w:jc w:val="center"/>
        <w:rPr>
          <w:rFonts w:ascii="Calibri" w:hAnsi="Calibri" w:cstheme="minorHAnsi"/>
          <w:b/>
          <w:bCs/>
          <w:noProof w:val="0"/>
          <w:sz w:val="20"/>
          <w:lang w:val="de-DE"/>
        </w:rPr>
      </w:pPr>
    </w:p>
    <w:p w14:paraId="2715A97C" w14:textId="5F38A91C" w:rsidR="00922022" w:rsidRDefault="00922022" w:rsidP="00922022">
      <w:pPr>
        <w:pStyle w:val="BodyText"/>
        <w:jc w:val="center"/>
        <w:rPr>
          <w:rFonts w:asciiTheme="minorHAnsi" w:hAnsiTheme="minorHAnsi" w:cstheme="minorHAnsi"/>
          <w:b/>
          <w:bCs/>
          <w:noProof w:val="0"/>
          <w:sz w:val="20"/>
          <w:lang w:val="de-DE"/>
        </w:rPr>
      </w:pPr>
      <w:r>
        <w:rPr>
          <w:rFonts w:ascii="Calibri" w:hAnsi="Calibri" w:cstheme="minorHAnsi"/>
          <w:b/>
          <w:bCs/>
          <w:noProof w:val="0"/>
          <w:sz w:val="20"/>
          <w:lang w:val="de-DE"/>
        </w:rPr>
        <w:t>Entwicklung des Verbrauchervertrauens in Belgien und in der EU</w:t>
      </w:r>
    </w:p>
    <w:p w14:paraId="68B32C89" w14:textId="77777777" w:rsidR="004134EA" w:rsidRDefault="00922022" w:rsidP="004134EA">
      <w:pPr>
        <w:pStyle w:val="BodyText"/>
        <w:jc w:val="center"/>
        <w:rPr>
          <w:rFonts w:asciiTheme="minorHAnsi" w:hAnsiTheme="minorHAnsi" w:cstheme="minorHAnsi"/>
          <w:noProof w:val="0"/>
          <w:sz w:val="16"/>
          <w:szCs w:val="16"/>
          <w:lang w:val="de-DE"/>
        </w:rPr>
      </w:pPr>
      <w:r>
        <w:rPr>
          <w:rFonts w:asciiTheme="minorHAnsi" w:hAnsiTheme="minorHAnsi" w:cstheme="minorBidi"/>
          <w:b/>
          <w:sz w:val="24"/>
          <w:szCs w:val="24"/>
          <w:lang w:val="de-DE"/>
        </w:rPr>
        <w:drawing>
          <wp:inline distT="0" distB="0" distL="0" distR="0" wp14:anchorId="6DF56A75" wp14:editId="16EFD04E">
            <wp:extent cx="5048250" cy="2628715"/>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t="10506"/>
                    <a:stretch>
                      <a:fillRect/>
                    </a:stretch>
                  </pic:blipFill>
                  <pic:spPr bwMode="auto">
                    <a:xfrm>
                      <a:off x="0" y="0"/>
                      <a:ext cx="5064261" cy="2637052"/>
                    </a:xfrm>
                    <a:prstGeom prst="rect">
                      <a:avLst/>
                    </a:prstGeom>
                    <a:noFill/>
                    <a:ln>
                      <a:noFill/>
                    </a:ln>
                  </pic:spPr>
                </pic:pic>
              </a:graphicData>
            </a:graphic>
          </wp:inline>
        </w:drawing>
      </w:r>
    </w:p>
    <w:p w14:paraId="62251A9F" w14:textId="2AA3CB18" w:rsidR="00922022" w:rsidRPr="004134EA" w:rsidRDefault="00922022" w:rsidP="004134EA">
      <w:pPr>
        <w:pStyle w:val="BodyText"/>
        <w:jc w:val="left"/>
        <w:rPr>
          <w:rFonts w:asciiTheme="minorHAnsi" w:hAnsiTheme="minorHAnsi" w:cstheme="minorBidi"/>
          <w:b/>
          <w:bCs/>
          <w:noProof w:val="0"/>
          <w:sz w:val="24"/>
          <w:szCs w:val="24"/>
          <w:lang w:val="de-DE"/>
        </w:rPr>
      </w:pPr>
      <w:r>
        <w:rPr>
          <w:rFonts w:asciiTheme="minorHAnsi" w:hAnsiTheme="minorHAnsi" w:cstheme="minorHAnsi"/>
          <w:noProof w:val="0"/>
          <w:sz w:val="16"/>
          <w:szCs w:val="16"/>
          <w:lang w:val="de-DE"/>
        </w:rPr>
        <w:t>Quelle: Europäische Kommission</w:t>
      </w:r>
    </w:p>
    <w:p w14:paraId="447B3208" w14:textId="77777777" w:rsidR="00922022" w:rsidRDefault="00922022" w:rsidP="00922022">
      <w:pPr>
        <w:pStyle w:val="BodyText"/>
        <w:rPr>
          <w:rFonts w:asciiTheme="minorHAnsi" w:hAnsiTheme="minorHAnsi" w:cstheme="minorHAnsi"/>
          <w:noProof w:val="0"/>
          <w:lang w:val="de-DE"/>
        </w:rPr>
      </w:pPr>
    </w:p>
    <w:p w14:paraId="453B48CE" w14:textId="77777777" w:rsidR="00922022" w:rsidRDefault="00922022" w:rsidP="00922022">
      <w:pPr>
        <w:pStyle w:val="BodyText"/>
        <w:rPr>
          <w:rFonts w:asciiTheme="minorHAnsi" w:hAnsiTheme="minorHAnsi" w:cstheme="minorHAnsi"/>
          <w:b/>
          <w:noProof w:val="0"/>
          <w:u w:val="single"/>
          <w:lang w:val="de-DE"/>
        </w:rPr>
      </w:pPr>
      <w:r>
        <w:rPr>
          <w:rFonts w:ascii="Calibri" w:hAnsi="Calibri" w:cstheme="minorHAnsi"/>
          <w:b/>
          <w:bCs/>
          <w:noProof w:val="0"/>
          <w:u w:val="single"/>
          <w:lang w:val="de-DE"/>
        </w:rPr>
        <w:t>Rückgängige Bestellungen im Möbelhandel</w:t>
      </w:r>
      <w:r>
        <w:rPr>
          <w:rFonts w:ascii="Calibri" w:hAnsi="Calibri" w:cstheme="minorHAnsi"/>
          <w:noProof w:val="0"/>
          <w:lang w:val="de-DE"/>
        </w:rPr>
        <w:t xml:space="preserve"> </w:t>
      </w:r>
    </w:p>
    <w:p w14:paraId="0E64CFE5" w14:textId="77777777" w:rsidR="00922022" w:rsidRDefault="00922022" w:rsidP="00922022">
      <w:pPr>
        <w:pStyle w:val="BodyText"/>
        <w:rPr>
          <w:rFonts w:asciiTheme="minorHAnsi" w:hAnsiTheme="minorHAnsi" w:cstheme="minorHAnsi"/>
          <w:b/>
          <w:noProof w:val="0"/>
          <w:lang w:val="de-DE"/>
        </w:rPr>
      </w:pPr>
    </w:p>
    <w:p w14:paraId="4C883B7D" w14:textId="77777777" w:rsidR="00922022" w:rsidRDefault="00922022" w:rsidP="00922022">
      <w:pPr>
        <w:pStyle w:val="BodyText"/>
        <w:rPr>
          <w:rFonts w:asciiTheme="minorHAnsi" w:hAnsiTheme="minorHAnsi" w:cstheme="minorHAnsi"/>
          <w:noProof w:val="0"/>
          <w:lang w:val="de-DE"/>
        </w:rPr>
      </w:pPr>
      <w:r>
        <w:rPr>
          <w:rFonts w:asciiTheme="minorHAnsi" w:hAnsiTheme="minorHAnsi" w:cstheme="minorHAnsi"/>
          <w:noProof w:val="0"/>
          <w:lang w:val="de-DE"/>
        </w:rPr>
        <w:t>Gemäß der monatlichen Umfrage der Belgischen Nationalbank wiesen die eingegangenen Bestellungen im belgischen Möbelhandel in den ersten 8 Monaten des Jahres 2022 kumuliert einen Rückgang um 4,3% auf. Lediglich im Januar und im April konnten noch positive Zahlen verzeichnet werden. Auch der Sommerschlussverkauf verlief eher negativ. Dies ist natürlich auf die Energiekrise und die Unsicherheit durch den Krieg in der Ukraine zurückzuführen, aber ebenso auf ein verändertes Konsumverhalten nach der Beendigung der Corona-Maßnahmen.</w:t>
      </w:r>
    </w:p>
    <w:p w14:paraId="1958929B" w14:textId="0CD07B9E" w:rsidR="00D16ED2" w:rsidRPr="00922022" w:rsidRDefault="00D16ED2" w:rsidP="006F03A7">
      <w:pPr>
        <w:pStyle w:val="BodyText"/>
        <w:rPr>
          <w:rFonts w:cstheme="minorHAnsi"/>
          <w:highlight w:val="yellow"/>
          <w:lang w:val="de-DE"/>
        </w:rPr>
      </w:pPr>
    </w:p>
    <w:p w14:paraId="7E0E0D32" w14:textId="01AE4CFB" w:rsidR="004134EA" w:rsidRDefault="004134EA" w:rsidP="004134EA">
      <w:pPr>
        <w:pStyle w:val="BodyText"/>
        <w:jc w:val="left"/>
        <w:rPr>
          <w:rFonts w:asciiTheme="minorHAnsi" w:hAnsiTheme="minorHAnsi" w:cstheme="minorHAnsi"/>
          <w:noProof w:val="0"/>
          <w:highlight w:val="yellow"/>
          <w:lang w:val="de-DE"/>
        </w:rPr>
      </w:pPr>
      <w:r>
        <mc:AlternateContent>
          <mc:Choice Requires="wps">
            <w:drawing>
              <wp:anchor distT="0" distB="0" distL="114300" distR="114300" simplePos="0" relativeHeight="251659264" behindDoc="0" locked="0" layoutInCell="1" allowOverlap="1" wp14:anchorId="7BEF3C27" wp14:editId="24EF0C0E">
                <wp:simplePos x="0" y="0"/>
                <wp:positionH relativeFrom="margin">
                  <wp:posOffset>1863725</wp:posOffset>
                </wp:positionH>
                <wp:positionV relativeFrom="paragraph">
                  <wp:posOffset>271780</wp:posOffset>
                </wp:positionV>
                <wp:extent cx="3862705" cy="52070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3862070" cy="520700"/>
                        </a:xfrm>
                        <a:prstGeom prst="rect">
                          <a:avLst/>
                        </a:prstGeom>
                      </wps:spPr>
                      <wps:txbx>
                        <w:txbxContent>
                          <w:p w14:paraId="6CB01E81" w14:textId="77777777" w:rsidR="004134EA" w:rsidRPr="004134EA" w:rsidRDefault="004134EA" w:rsidP="004134EA">
                            <w:pPr>
                              <w:pStyle w:val="NormalWeb"/>
                              <w:kinsoku w:val="0"/>
                              <w:overflowPunct w:val="0"/>
                              <w:spacing w:before="0" w:beforeAutospacing="0" w:after="0" w:afterAutospacing="0"/>
                              <w:jc w:val="center"/>
                              <w:textAlignment w:val="baseline"/>
                              <w:rPr>
                                <w:sz w:val="12"/>
                                <w:szCs w:val="20"/>
                                <w:lang w:val="de-DE"/>
                              </w:rPr>
                            </w:pPr>
                            <w:r>
                              <w:rPr>
                                <w:rFonts w:ascii="Calibri" w:eastAsiaTheme="majorEastAsia" w:hAnsi="Calibri" w:cstheme="majorBidi"/>
                                <w:b/>
                                <w:bCs/>
                                <w:color w:val="2D3721"/>
                                <w:sz w:val="20"/>
                                <w:szCs w:val="32"/>
                                <w:lang w:val="de-DE"/>
                              </w:rPr>
                              <w:t xml:space="preserve">Entwicklung der eingegangenen Bestellungen im Möbelhandel </w:t>
                            </w:r>
                          </w:p>
                          <w:p w14:paraId="3B8F2869" w14:textId="77777777" w:rsidR="004134EA" w:rsidRDefault="004134EA" w:rsidP="004134EA">
                            <w:pPr>
                              <w:pStyle w:val="NormalWeb"/>
                              <w:kinsoku w:val="0"/>
                              <w:overflowPunct w:val="0"/>
                              <w:spacing w:before="0" w:beforeAutospacing="0" w:after="0" w:afterAutospacing="0"/>
                              <w:jc w:val="center"/>
                              <w:textAlignment w:val="baseline"/>
                              <w:rPr>
                                <w:sz w:val="12"/>
                                <w:szCs w:val="20"/>
                              </w:rPr>
                            </w:pPr>
                            <w:r>
                              <w:rPr>
                                <w:rFonts w:ascii="Calibri" w:eastAsiaTheme="majorEastAsia" w:hAnsi="Calibri" w:cstheme="majorBidi"/>
                                <w:b/>
                                <w:bCs/>
                                <w:color w:val="2D3721"/>
                                <w:sz w:val="20"/>
                                <w:szCs w:val="32"/>
                                <w:lang w:val="de-DE"/>
                              </w:rPr>
                              <w:t>(kumuliert 8 Monate 2022 = -4,3%)</w:t>
                            </w:r>
                          </w:p>
                        </w:txbxContent>
                      </wps:txbx>
                      <wps:bodyPr vertOverflow="clip" horzOverflow="clip" wrap="square"/>
                    </wps:wsp>
                  </a:graphicData>
                </a:graphic>
                <wp14:sizeRelH relativeFrom="margin">
                  <wp14:pctWidth>0</wp14:pctWidth>
                </wp14:sizeRelH>
                <wp14:sizeRelV relativeFrom="margin">
                  <wp14:pctHeight>0</wp14:pctHeight>
                </wp14:sizeRelV>
              </wp:anchor>
            </w:drawing>
          </mc:Choice>
          <mc:Fallback>
            <w:pict>
              <v:shapetype w14:anchorId="7BEF3C27" id="_x0000_t202" coordsize="21600,21600" o:spt="202" path="m,l,21600r21600,l21600,xe">
                <v:stroke joinstyle="miter"/>
                <v:path gradientshapeok="t" o:connecttype="rect"/>
              </v:shapetype>
              <v:shape id="Tekstvak 10" o:spid="_x0000_s1026" type="#_x0000_t202" style="position:absolute;margin-left:146.75pt;margin-top:21.4pt;width:304.15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" filled="f" stroked="f">
                <v:textbox>
                  <w:txbxContent>
                    <w:p w14:paraId="6CB01E81" w14:textId="77777777" w:rsidR="004134EA" w:rsidRPr="004134EA" w:rsidRDefault="004134EA" w:rsidP="004134EA">
                      <w:pPr>
                        <w:pStyle w:val="NormalWeb"/>
                        <w:kinsoku w:val="0"/>
                        <w:overflowPunct w:val="0"/>
                        <w:spacing w:before="0" w:beforeAutospacing="0" w:after="0" w:afterAutospacing="0"/>
                        <w:jc w:val="center"/>
                        <w:textAlignment w:val="baseline"/>
                        <w:rPr>
                          <w:sz w:val="12"/>
                          <w:szCs w:val="20"/>
                          <w:lang w:val="de-DE"/>
                        </w:rPr>
                      </w:pPr>
                      <w:r>
                        <w:rPr>
                          <w:rFonts w:ascii="Calibri" w:eastAsiaTheme="majorEastAsia" w:hAnsi="Calibri" w:cstheme="majorBidi"/>
                          <w:b/>
                          <w:bCs/>
                          <w:color w:val="2D3721"/>
                          <w:sz w:val="20"/>
                          <w:szCs w:val="32"/>
                          <w:lang w:val="de-DE"/>
                        </w:rPr>
                        <w:t xml:space="preserve">Entwicklung der eingegangenen Bestellungen im Möbelhandel </w:t>
                      </w:r>
                    </w:p>
                    <w:p w14:paraId="3B8F2869" w14:textId="77777777" w:rsidR="004134EA" w:rsidRDefault="004134EA" w:rsidP="004134EA">
                      <w:pPr>
                        <w:pStyle w:val="NormalWeb"/>
                        <w:kinsoku w:val="0"/>
                        <w:overflowPunct w:val="0"/>
                        <w:spacing w:before="0" w:beforeAutospacing="0" w:after="0" w:afterAutospacing="0"/>
                        <w:jc w:val="center"/>
                        <w:textAlignment w:val="baseline"/>
                        <w:rPr>
                          <w:sz w:val="12"/>
                          <w:szCs w:val="20"/>
                        </w:rPr>
                      </w:pPr>
                      <w:r>
                        <w:rPr>
                          <w:rFonts w:ascii="Calibri" w:eastAsiaTheme="majorEastAsia" w:hAnsi="Calibri" w:cstheme="majorBidi"/>
                          <w:b/>
                          <w:bCs/>
                          <w:color w:val="2D3721"/>
                          <w:sz w:val="20"/>
                          <w:szCs w:val="32"/>
                          <w:lang w:val="de-DE"/>
                        </w:rPr>
                        <w:t>(kumuliert 8 Monate 2022 = -4,3%)</w:t>
                      </w:r>
                    </w:p>
                  </w:txbxContent>
                </v:textbox>
                <w10:wrap anchorx="margin"/>
              </v:shape>
            </w:pict>
          </mc:Fallback>
        </mc:AlternateContent>
      </w:r>
      <w:r>
        <w:rPr>
          <w:lang w:val="de-DE"/>
        </w:rPr>
        <w:drawing>
          <wp:inline distT="0" distB="0" distL="0" distR="0" wp14:anchorId="23E393F7" wp14:editId="354470A7">
            <wp:extent cx="5857875" cy="2171700"/>
            <wp:effectExtent l="0" t="0" r="9525" b="0"/>
            <wp:docPr id="9" name="Grafiek 9">
              <a:extLst xmlns:a="http://schemas.openxmlformats.org/drawingml/2006/main">
                <a:ext uri="{FF2B5EF4-FFF2-40B4-BE49-F238E27FC236}">
                  <a16:creationId xmlns:a16="http://schemas.microsoft.com/office/drawing/2014/main" id="{C6321D87-23F5-431A-9F91-AEB319575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1D3B2F" w14:textId="77777777" w:rsidR="004134EA" w:rsidRDefault="004134EA" w:rsidP="004134EA">
      <w:pPr>
        <w:pStyle w:val="BodyText"/>
        <w:rPr>
          <w:rFonts w:asciiTheme="minorHAnsi" w:hAnsiTheme="minorHAnsi" w:cstheme="minorHAnsi"/>
          <w:noProof w:val="0"/>
          <w:lang w:val="de-DE"/>
        </w:rPr>
      </w:pPr>
      <w:r>
        <w:rPr>
          <w:rFonts w:asciiTheme="minorHAnsi" w:hAnsiTheme="minorHAnsi" w:cstheme="minorHAnsi"/>
          <w:noProof w:val="0"/>
          <w:sz w:val="16"/>
          <w:szCs w:val="22"/>
          <w:lang w:val="de-DE"/>
        </w:rPr>
        <w:t>Quelle: Belgische Nationalbank</w:t>
      </w:r>
    </w:p>
    <w:p w14:paraId="77D443EA" w14:textId="352306F5" w:rsidR="004134EA" w:rsidRPr="004134EA" w:rsidRDefault="004134EA" w:rsidP="004134EA">
      <w:pPr>
        <w:rPr>
          <w:rFonts w:cstheme="minorHAnsi"/>
          <w:lang w:val="de-DE"/>
        </w:rPr>
      </w:pPr>
      <w:r>
        <w:rPr>
          <w:rFonts w:cstheme="minorHAnsi"/>
          <w:lang w:val="de-DE"/>
        </w:rPr>
        <w:br w:type="page"/>
      </w:r>
      <w:r>
        <w:rPr>
          <w:rFonts w:ascii="Calibri" w:hAnsi="Calibri" w:cstheme="minorHAnsi"/>
          <w:b/>
          <w:bCs/>
          <w:u w:val="single"/>
          <w:lang w:val="de-DE"/>
        </w:rPr>
        <w:lastRenderedPageBreak/>
        <w:t>Ausländischer Handel: Import rückläufig, Export stabilisiert</w:t>
      </w:r>
    </w:p>
    <w:p w14:paraId="253E6E6E" w14:textId="77777777" w:rsidR="004134EA" w:rsidRDefault="004134EA" w:rsidP="004134EA">
      <w:pPr>
        <w:pStyle w:val="BodyText"/>
        <w:rPr>
          <w:rFonts w:asciiTheme="minorHAnsi" w:hAnsiTheme="minorHAnsi" w:cstheme="minorHAnsi"/>
          <w:b/>
          <w:noProof w:val="0"/>
          <w:lang w:val="de-DE"/>
        </w:rPr>
      </w:pPr>
    </w:p>
    <w:p w14:paraId="671F46B4" w14:textId="77777777" w:rsidR="004134EA" w:rsidRDefault="004134EA" w:rsidP="004134EA">
      <w:pPr>
        <w:pStyle w:val="BodyText"/>
        <w:rPr>
          <w:rFonts w:asciiTheme="minorHAnsi" w:hAnsiTheme="minorHAnsi" w:cstheme="minorHAnsi"/>
          <w:noProof w:val="0"/>
          <w:lang w:val="de-DE"/>
        </w:rPr>
      </w:pPr>
      <w:r>
        <w:rPr>
          <w:rFonts w:asciiTheme="minorHAnsi" w:hAnsiTheme="minorHAnsi" w:cstheme="minorHAnsi"/>
          <w:noProof w:val="0"/>
          <w:lang w:val="de-DE"/>
        </w:rPr>
        <w:t xml:space="preserve">In der ersten Jahreshälfte 2022 stieg </w:t>
      </w:r>
      <w:r>
        <w:rPr>
          <w:rFonts w:asciiTheme="minorHAnsi" w:hAnsiTheme="minorHAnsi" w:cstheme="minorHAnsi"/>
          <w:b/>
          <w:bCs/>
          <w:noProof w:val="0"/>
          <w:lang w:val="de-DE"/>
        </w:rPr>
        <w:t xml:space="preserve">der Export von belgischen Möbeln </w:t>
      </w:r>
      <w:r>
        <w:rPr>
          <w:rFonts w:asciiTheme="minorHAnsi" w:hAnsiTheme="minorHAnsi" w:cstheme="minorHAnsi"/>
          <w:noProof w:val="0"/>
          <w:lang w:val="de-DE"/>
        </w:rPr>
        <w:t>(einschließlich Transit) um 1% im Wert im Vergleich zur ersten Jahreshälfte 2021. Unter Berücksichtigung der Selbstkostenpreissteigerung bedeutet dies jedoch einen Volumen-Rückgang. Es wurden für knapp 870 Millionen Euro an Möbeln exportiert, wobei Frankreich noch stets der wichtigste Exportmarkt für belgische Möbel ist, und eine Steigerung von 8,5% verzeichnete. Der Export in die Niederlande sank um 0,9% und der Export nach Deutschland um 2,8%. Innerhalb der EU wurde Spanien zum 4. Exportmarkt.</w:t>
      </w:r>
    </w:p>
    <w:p w14:paraId="35E851F1" w14:textId="77777777" w:rsidR="004134EA" w:rsidRDefault="004134EA" w:rsidP="004134EA">
      <w:pPr>
        <w:pStyle w:val="BodyText"/>
        <w:rPr>
          <w:rFonts w:asciiTheme="minorHAnsi" w:hAnsiTheme="minorHAnsi" w:cstheme="minorHAnsi"/>
          <w:noProof w:val="0"/>
          <w:lang w:val="de-DE"/>
        </w:rPr>
      </w:pPr>
    </w:p>
    <w:p w14:paraId="2C9C4944" w14:textId="77777777" w:rsidR="004134EA" w:rsidRDefault="004134EA" w:rsidP="004134EA">
      <w:pPr>
        <w:pStyle w:val="BodyText"/>
        <w:rPr>
          <w:rFonts w:asciiTheme="minorHAnsi" w:hAnsiTheme="minorHAnsi" w:cstheme="minorHAnsi"/>
          <w:noProof w:val="0"/>
          <w:lang w:val="de-DE"/>
        </w:rPr>
      </w:pPr>
      <w:r>
        <w:rPr>
          <w:rFonts w:asciiTheme="minorHAnsi" w:hAnsiTheme="minorHAnsi" w:cstheme="minorHAnsi"/>
          <w:noProof w:val="0"/>
          <w:lang w:val="de-DE"/>
        </w:rPr>
        <w:t xml:space="preserve">Im Einklang mit dem Rückgang der Nachfrage sank auch der Wert des </w:t>
      </w:r>
      <w:r>
        <w:rPr>
          <w:rFonts w:asciiTheme="minorHAnsi" w:hAnsiTheme="minorHAnsi" w:cstheme="minorHAnsi"/>
          <w:b/>
          <w:bCs/>
          <w:noProof w:val="0"/>
          <w:lang w:val="de-DE"/>
        </w:rPr>
        <w:t>Möbelimports</w:t>
      </w:r>
      <w:r>
        <w:rPr>
          <w:rFonts w:asciiTheme="minorHAnsi" w:hAnsiTheme="minorHAnsi" w:cstheme="minorHAnsi"/>
          <w:noProof w:val="0"/>
          <w:lang w:val="de-DE"/>
        </w:rPr>
        <w:t xml:space="preserve"> global um 5,2%, der Import aus anderen Ländern aus der Europäischen Union selbst um 18,5%. China (+14,4%), Indonesien (+51,2) und Vietnam (+57%) erhöhten ihre Bedeutung auf dem belgischen Möbelmarkt. Der Rückgang von Containerpreisen und die Aufhebung der Corona-Einschränkungen können dabei sicherlich eine Rolle gespielt haben, aber auch 2021 war der Import aus diesen Ländern bereits im Anstieg begriffen.</w:t>
      </w:r>
    </w:p>
    <w:p w14:paraId="08D79BA7" w14:textId="77777777" w:rsidR="00D16ED2" w:rsidRPr="004134EA" w:rsidRDefault="00D16ED2" w:rsidP="00D16ED2">
      <w:pPr>
        <w:pStyle w:val="BodyText"/>
        <w:rPr>
          <w:rFonts w:asciiTheme="minorHAnsi" w:hAnsiTheme="minorHAnsi" w:cstheme="minorHAnsi"/>
          <w:lang w:val="de-DE"/>
        </w:rPr>
      </w:pPr>
    </w:p>
    <w:p w14:paraId="357F5504" w14:textId="77777777" w:rsidR="005323F9" w:rsidRDefault="005323F9" w:rsidP="005323F9">
      <w:pPr>
        <w:pStyle w:val="BodyText"/>
        <w:rPr>
          <w:rFonts w:asciiTheme="minorHAnsi" w:hAnsiTheme="minorHAnsi" w:cstheme="minorHAnsi"/>
          <w:noProof w:val="0"/>
          <w:szCs w:val="22"/>
          <w:lang w:val="de-DE"/>
        </w:rPr>
      </w:pPr>
    </w:p>
    <w:tbl>
      <w:tblPr>
        <w:tblW w:w="9172" w:type="dxa"/>
        <w:tblCellMar>
          <w:left w:w="70" w:type="dxa"/>
          <w:right w:w="70" w:type="dxa"/>
        </w:tblCellMar>
        <w:tblLook w:val="04A0" w:firstRow="1" w:lastRow="0" w:firstColumn="1" w:lastColumn="0" w:noHBand="0" w:noVBand="1"/>
      </w:tblPr>
      <w:tblGrid>
        <w:gridCol w:w="1303"/>
        <w:gridCol w:w="904"/>
        <w:gridCol w:w="990"/>
        <w:gridCol w:w="990"/>
        <w:gridCol w:w="673"/>
        <w:gridCol w:w="829"/>
        <w:gridCol w:w="854"/>
        <w:gridCol w:w="854"/>
        <w:gridCol w:w="673"/>
        <w:gridCol w:w="1102"/>
      </w:tblGrid>
      <w:tr w:rsidR="005323F9" w:rsidRPr="006C42FE" w14:paraId="5B9994FC" w14:textId="77777777" w:rsidTr="005323F9">
        <w:tc>
          <w:tcPr>
            <w:tcW w:w="9172"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70ED5317" w14:textId="77777777" w:rsidR="005323F9" w:rsidRDefault="005323F9">
            <w:pPr>
              <w:jc w:val="center"/>
              <w:rPr>
                <w:rFonts w:cstheme="minorHAnsi"/>
                <w:b/>
                <w:bCs/>
                <w:sz w:val="16"/>
                <w:szCs w:val="16"/>
                <w:lang w:val="de-DE" w:eastAsia="nl-BE"/>
              </w:rPr>
            </w:pPr>
            <w:r>
              <w:rPr>
                <w:rFonts w:ascii="Calibri" w:hAnsi="Calibri" w:cstheme="minorHAnsi"/>
                <w:b/>
                <w:bCs/>
                <w:sz w:val="16"/>
                <w:szCs w:val="16"/>
                <w:lang w:val="de-DE" w:eastAsia="nl-BE"/>
              </w:rPr>
              <w:t>Auslandshandel Möbelindustrie (inkl. Möbel aus Metall und Kunststoff)</w:t>
            </w:r>
          </w:p>
        </w:tc>
      </w:tr>
      <w:tr w:rsidR="005323F9" w14:paraId="7269DFD5"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2DF57CA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3557"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3DBC3590" w14:textId="77777777" w:rsidR="005323F9" w:rsidRDefault="005323F9">
            <w:pPr>
              <w:jc w:val="center"/>
              <w:rPr>
                <w:rFonts w:cstheme="minorHAnsi"/>
                <w:b/>
                <w:bCs/>
                <w:color w:val="000000"/>
                <w:sz w:val="16"/>
                <w:szCs w:val="16"/>
                <w:lang w:val="de-DE" w:eastAsia="nl-BE"/>
              </w:rPr>
            </w:pPr>
            <w:r>
              <w:rPr>
                <w:rFonts w:ascii="Calibri" w:hAnsi="Calibri" w:cstheme="minorHAnsi"/>
                <w:b/>
                <w:bCs/>
                <w:color w:val="000000"/>
                <w:sz w:val="16"/>
                <w:szCs w:val="16"/>
                <w:lang w:val="de-DE" w:eastAsia="nl-BE"/>
              </w:rPr>
              <w:t>Belgischer Import</w:t>
            </w:r>
          </w:p>
        </w:tc>
        <w:tc>
          <w:tcPr>
            <w:tcW w:w="3210" w:type="dxa"/>
            <w:gridSpan w:val="4"/>
            <w:shd w:val="clear" w:color="auto" w:fill="FFFFFF" w:themeFill="background1"/>
            <w:noWrap/>
            <w:vAlign w:val="bottom"/>
            <w:hideMark/>
          </w:tcPr>
          <w:p w14:paraId="785FAACD" w14:textId="77777777" w:rsidR="005323F9" w:rsidRDefault="005323F9">
            <w:pPr>
              <w:jc w:val="center"/>
              <w:rPr>
                <w:rFonts w:cstheme="minorHAnsi"/>
                <w:b/>
                <w:bCs/>
                <w:color w:val="000000"/>
                <w:sz w:val="16"/>
                <w:szCs w:val="16"/>
                <w:lang w:val="de-DE" w:eastAsia="nl-BE"/>
              </w:rPr>
            </w:pPr>
            <w:r>
              <w:rPr>
                <w:rFonts w:ascii="Calibri" w:hAnsi="Calibri" w:cstheme="minorHAnsi"/>
                <w:b/>
                <w:bCs/>
                <w:color w:val="000000"/>
                <w:sz w:val="16"/>
                <w:szCs w:val="16"/>
                <w:lang w:val="de-DE" w:eastAsia="nl-BE"/>
              </w:rPr>
              <w:t>Belgischer Export</w:t>
            </w:r>
          </w:p>
        </w:tc>
        <w:tc>
          <w:tcPr>
            <w:tcW w:w="1102" w:type="dxa"/>
            <w:tcBorders>
              <w:top w:val="nil"/>
              <w:left w:val="single" w:sz="4" w:space="0" w:color="auto"/>
              <w:bottom w:val="nil"/>
              <w:right w:val="single" w:sz="4" w:space="0" w:color="auto"/>
            </w:tcBorders>
            <w:shd w:val="clear" w:color="auto" w:fill="FFFFFF" w:themeFill="background1"/>
            <w:noWrap/>
            <w:vAlign w:val="bottom"/>
            <w:hideMark/>
          </w:tcPr>
          <w:p w14:paraId="09288458"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Deckungs-</w:t>
            </w:r>
          </w:p>
        </w:tc>
      </w:tr>
      <w:tr w:rsidR="005323F9" w14:paraId="6838794F"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62BCF39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05DA334A"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Anteil</w:t>
            </w:r>
          </w:p>
        </w:tc>
        <w:tc>
          <w:tcPr>
            <w:tcW w:w="990" w:type="dxa"/>
            <w:shd w:val="clear" w:color="auto" w:fill="FFFFFF" w:themeFill="background1"/>
            <w:noWrap/>
            <w:vAlign w:val="bottom"/>
            <w:hideMark/>
          </w:tcPr>
          <w:p w14:paraId="1EEE5748"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990" w:type="dxa"/>
            <w:shd w:val="clear" w:color="auto" w:fill="FFFFFF" w:themeFill="background1"/>
            <w:noWrap/>
            <w:vAlign w:val="bottom"/>
            <w:hideMark/>
          </w:tcPr>
          <w:p w14:paraId="38971DE1"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673" w:type="dxa"/>
            <w:tcBorders>
              <w:top w:val="nil"/>
              <w:left w:val="nil"/>
              <w:bottom w:val="nil"/>
              <w:right w:val="single" w:sz="4" w:space="0" w:color="auto"/>
            </w:tcBorders>
            <w:shd w:val="clear" w:color="auto" w:fill="FFFFFF" w:themeFill="background1"/>
            <w:noWrap/>
            <w:vAlign w:val="bottom"/>
            <w:hideMark/>
          </w:tcPr>
          <w:p w14:paraId="18620779"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829" w:type="dxa"/>
            <w:shd w:val="clear" w:color="auto" w:fill="FFFFFF" w:themeFill="background1"/>
            <w:noWrap/>
            <w:vAlign w:val="bottom"/>
            <w:hideMark/>
          </w:tcPr>
          <w:p w14:paraId="03C5726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Anteil</w:t>
            </w:r>
          </w:p>
        </w:tc>
        <w:tc>
          <w:tcPr>
            <w:tcW w:w="854" w:type="dxa"/>
            <w:shd w:val="clear" w:color="auto" w:fill="FFFFFF" w:themeFill="background1"/>
            <w:noWrap/>
            <w:vAlign w:val="bottom"/>
            <w:hideMark/>
          </w:tcPr>
          <w:p w14:paraId="48C334F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854" w:type="dxa"/>
            <w:shd w:val="clear" w:color="auto" w:fill="FFFFFF" w:themeFill="background1"/>
            <w:noWrap/>
            <w:vAlign w:val="bottom"/>
            <w:hideMark/>
          </w:tcPr>
          <w:p w14:paraId="03D37CCA"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673" w:type="dxa"/>
            <w:shd w:val="clear" w:color="auto" w:fill="FFFFFF" w:themeFill="background1"/>
            <w:noWrap/>
            <w:vAlign w:val="bottom"/>
            <w:hideMark/>
          </w:tcPr>
          <w:p w14:paraId="6367066E"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1102" w:type="dxa"/>
            <w:tcBorders>
              <w:top w:val="nil"/>
              <w:left w:val="single" w:sz="4" w:space="0" w:color="auto"/>
              <w:bottom w:val="nil"/>
              <w:right w:val="single" w:sz="4" w:space="0" w:color="auto"/>
            </w:tcBorders>
            <w:shd w:val="clear" w:color="auto" w:fill="FFFFFF" w:themeFill="background1"/>
            <w:noWrap/>
            <w:vAlign w:val="bottom"/>
            <w:hideMark/>
          </w:tcPr>
          <w:p w14:paraId="026E9AE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Prozentsatz</w:t>
            </w:r>
          </w:p>
        </w:tc>
      </w:tr>
      <w:tr w:rsidR="005323F9" w14:paraId="2E05B4CD"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5992C82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6F158C0E"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990" w:type="dxa"/>
            <w:shd w:val="clear" w:color="auto" w:fill="FFFFFF" w:themeFill="background1"/>
            <w:noWrap/>
            <w:vAlign w:val="bottom"/>
            <w:hideMark/>
          </w:tcPr>
          <w:p w14:paraId="28AAFA03"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6m2021</w:t>
            </w:r>
          </w:p>
        </w:tc>
        <w:tc>
          <w:tcPr>
            <w:tcW w:w="990" w:type="dxa"/>
            <w:shd w:val="clear" w:color="auto" w:fill="FFFFFF" w:themeFill="background1"/>
            <w:noWrap/>
            <w:vAlign w:val="bottom"/>
            <w:hideMark/>
          </w:tcPr>
          <w:p w14:paraId="4246018F"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12B694D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w:t>
            </w:r>
          </w:p>
        </w:tc>
        <w:tc>
          <w:tcPr>
            <w:tcW w:w="829" w:type="dxa"/>
            <w:shd w:val="clear" w:color="auto" w:fill="FFFFFF" w:themeFill="background1"/>
            <w:noWrap/>
            <w:vAlign w:val="bottom"/>
            <w:hideMark/>
          </w:tcPr>
          <w:p w14:paraId="0178669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854" w:type="dxa"/>
            <w:shd w:val="clear" w:color="auto" w:fill="FFFFFF" w:themeFill="background1"/>
            <w:noWrap/>
            <w:vAlign w:val="bottom"/>
            <w:hideMark/>
          </w:tcPr>
          <w:p w14:paraId="0304F6C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6m2021</w:t>
            </w:r>
          </w:p>
        </w:tc>
        <w:tc>
          <w:tcPr>
            <w:tcW w:w="854" w:type="dxa"/>
            <w:shd w:val="clear" w:color="auto" w:fill="FFFFFF" w:themeFill="background1"/>
            <w:noWrap/>
            <w:vAlign w:val="bottom"/>
            <w:hideMark/>
          </w:tcPr>
          <w:p w14:paraId="707B885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4E2AF784"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w:t>
            </w:r>
          </w:p>
        </w:tc>
        <w:tc>
          <w:tcPr>
            <w:tcW w:w="1102" w:type="dxa"/>
            <w:tcBorders>
              <w:top w:val="nil"/>
              <w:left w:val="nil"/>
              <w:bottom w:val="nil"/>
              <w:right w:val="single" w:sz="4" w:space="0" w:color="auto"/>
            </w:tcBorders>
            <w:shd w:val="clear" w:color="auto" w:fill="FFFFFF" w:themeFill="background1"/>
            <w:noWrap/>
            <w:vAlign w:val="bottom"/>
            <w:hideMark/>
          </w:tcPr>
          <w:p w14:paraId="6166563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r>
      <w:tr w:rsidR="005323F9" w14:paraId="49DC14CC" w14:textId="77777777" w:rsidTr="005323F9">
        <w:tc>
          <w:tcPr>
            <w:tcW w:w="1303"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2BF5E0E2" w14:textId="77777777" w:rsidR="005323F9" w:rsidRDefault="005323F9">
            <w:pPr>
              <w:rPr>
                <w:rFonts w:cstheme="minorHAnsi"/>
                <w:b/>
                <w:bCs/>
                <w:color w:val="000000"/>
                <w:sz w:val="16"/>
                <w:szCs w:val="16"/>
                <w:lang w:val="de-DE" w:eastAsia="nl-BE"/>
              </w:rPr>
            </w:pPr>
            <w:r>
              <w:rPr>
                <w:rFonts w:ascii="Calibri" w:hAnsi="Calibri" w:cstheme="minorHAnsi"/>
                <w:b/>
                <w:bCs/>
                <w:color w:val="000000"/>
                <w:sz w:val="16"/>
                <w:szCs w:val="16"/>
                <w:lang w:val="de-DE" w:eastAsia="nl-BE"/>
              </w:rPr>
              <w:t>Länder</w:t>
            </w:r>
          </w:p>
        </w:tc>
        <w:tc>
          <w:tcPr>
            <w:tcW w:w="90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12C111BA"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in %</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13D1B4F6"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F17F12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048BFA7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22/21</w:t>
            </w:r>
          </w:p>
        </w:tc>
        <w:tc>
          <w:tcPr>
            <w:tcW w:w="82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914FDE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in %</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55D49C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6E34BD9"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38E1C2C3"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22/21</w:t>
            </w:r>
          </w:p>
        </w:tc>
        <w:tc>
          <w:tcPr>
            <w:tcW w:w="1102"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47F98124"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w:t>
            </w:r>
            <w:proofErr w:type="spellStart"/>
            <w:r>
              <w:rPr>
                <w:rFonts w:cstheme="minorHAnsi"/>
                <w:color w:val="000000"/>
                <w:sz w:val="16"/>
                <w:szCs w:val="16"/>
                <w:lang w:val="de-DE" w:eastAsia="nl-BE"/>
              </w:rPr>
              <w:t>Exp</w:t>
            </w:r>
            <w:proofErr w:type="spellEnd"/>
            <w:r>
              <w:rPr>
                <w:rFonts w:cstheme="minorHAnsi"/>
                <w:color w:val="000000"/>
                <w:sz w:val="16"/>
                <w:szCs w:val="16"/>
                <w:lang w:val="de-DE" w:eastAsia="nl-BE"/>
              </w:rPr>
              <w:t>/Imp)</w:t>
            </w:r>
          </w:p>
        </w:tc>
      </w:tr>
      <w:tr w:rsidR="005323F9" w14:paraId="10E2FB6C" w14:textId="77777777" w:rsidTr="005323F9">
        <w:tc>
          <w:tcPr>
            <w:tcW w:w="1303" w:type="dxa"/>
            <w:tcBorders>
              <w:top w:val="single" w:sz="4" w:space="0" w:color="FFFFFF" w:themeColor="background1"/>
              <w:left w:val="single" w:sz="4" w:space="0" w:color="auto"/>
              <w:bottom w:val="single" w:sz="4" w:space="0" w:color="FFFFFF" w:themeColor="background1"/>
              <w:right w:val="nil"/>
            </w:tcBorders>
            <w:vAlign w:val="bottom"/>
            <w:hideMark/>
          </w:tcPr>
          <w:p w14:paraId="1B16C45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Frankreich</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376ABC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vAlign w:val="bottom"/>
            <w:hideMark/>
          </w:tcPr>
          <w:p w14:paraId="0AA89BE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88.933,3</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vAlign w:val="bottom"/>
            <w:hideMark/>
          </w:tcPr>
          <w:p w14:paraId="0172BA8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81.681,4</w:t>
            </w:r>
          </w:p>
        </w:tc>
        <w:tc>
          <w:tcPr>
            <w:tcW w:w="673" w:type="dxa"/>
            <w:tcBorders>
              <w:top w:val="nil"/>
              <w:left w:val="nil"/>
              <w:bottom w:val="single" w:sz="4" w:space="0" w:color="FFFFFF" w:themeColor="background1"/>
              <w:right w:val="single" w:sz="4" w:space="0" w:color="auto"/>
            </w:tcBorders>
            <w:noWrap/>
            <w:vAlign w:val="bottom"/>
            <w:hideMark/>
          </w:tcPr>
          <w:p w14:paraId="29698D7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16463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40,4</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noWrap/>
            <w:vAlign w:val="bottom"/>
            <w:hideMark/>
          </w:tcPr>
          <w:p w14:paraId="134ADC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323.601,3</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noWrap/>
            <w:vAlign w:val="bottom"/>
            <w:hideMark/>
          </w:tcPr>
          <w:p w14:paraId="39F9909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350.998,0</w:t>
            </w:r>
          </w:p>
        </w:tc>
        <w:tc>
          <w:tcPr>
            <w:tcW w:w="673" w:type="dxa"/>
            <w:tcBorders>
              <w:top w:val="nil"/>
              <w:left w:val="nil"/>
              <w:bottom w:val="single" w:sz="4" w:space="0" w:color="FFFFFF" w:themeColor="background1"/>
              <w:right w:val="nil"/>
            </w:tcBorders>
            <w:noWrap/>
            <w:vAlign w:val="bottom"/>
            <w:hideMark/>
          </w:tcPr>
          <w:p w14:paraId="362D8B6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C4A13B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429,7</w:t>
            </w:r>
          </w:p>
        </w:tc>
      </w:tr>
      <w:tr w:rsidR="005323F9" w14:paraId="48CD2EB3" w14:textId="77777777" w:rsidTr="005323F9">
        <w:tc>
          <w:tcPr>
            <w:tcW w:w="1303" w:type="dxa"/>
            <w:tcBorders>
              <w:top w:val="nil"/>
              <w:left w:val="single" w:sz="4" w:space="0" w:color="auto"/>
              <w:bottom w:val="single" w:sz="4" w:space="0" w:color="FFFFFF" w:themeColor="background1"/>
              <w:right w:val="nil"/>
            </w:tcBorders>
            <w:vAlign w:val="bottom"/>
            <w:hideMark/>
          </w:tcPr>
          <w:p w14:paraId="6ED40A9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Niederlande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7A7311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13,5</w:t>
            </w:r>
          </w:p>
        </w:tc>
        <w:tc>
          <w:tcPr>
            <w:tcW w:w="990" w:type="dxa"/>
            <w:tcBorders>
              <w:top w:val="nil"/>
              <w:left w:val="nil"/>
              <w:bottom w:val="single" w:sz="4" w:space="0" w:color="FFFFFF" w:themeColor="background1"/>
              <w:right w:val="single" w:sz="4" w:space="0" w:color="FFFFFF" w:themeColor="background1"/>
            </w:tcBorders>
            <w:vAlign w:val="bottom"/>
            <w:hideMark/>
          </w:tcPr>
          <w:p w14:paraId="4412873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224.454,6</w:t>
            </w:r>
          </w:p>
        </w:tc>
        <w:tc>
          <w:tcPr>
            <w:tcW w:w="990" w:type="dxa"/>
            <w:tcBorders>
              <w:top w:val="nil"/>
              <w:left w:val="nil"/>
              <w:bottom w:val="single" w:sz="4" w:space="0" w:color="FFFFFF" w:themeColor="background1"/>
              <w:right w:val="single" w:sz="4" w:space="0" w:color="FFFFFF" w:themeColor="background1"/>
            </w:tcBorders>
            <w:vAlign w:val="bottom"/>
            <w:hideMark/>
          </w:tcPr>
          <w:p w14:paraId="15DAE0C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198.876,2</w:t>
            </w:r>
          </w:p>
        </w:tc>
        <w:tc>
          <w:tcPr>
            <w:tcW w:w="673" w:type="dxa"/>
            <w:tcBorders>
              <w:top w:val="nil"/>
              <w:left w:val="nil"/>
              <w:bottom w:val="single" w:sz="4" w:space="0" w:color="FFFFFF" w:themeColor="background1"/>
              <w:right w:val="single" w:sz="4" w:space="0" w:color="auto"/>
            </w:tcBorders>
            <w:noWrap/>
            <w:vAlign w:val="bottom"/>
            <w:hideMark/>
          </w:tcPr>
          <w:p w14:paraId="08ED7C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9BF7E9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2682BB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203.895,4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161E28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201.983,9</w:t>
            </w:r>
          </w:p>
        </w:tc>
        <w:tc>
          <w:tcPr>
            <w:tcW w:w="673" w:type="dxa"/>
            <w:tcBorders>
              <w:top w:val="nil"/>
              <w:left w:val="nil"/>
              <w:bottom w:val="single" w:sz="4" w:space="0" w:color="FFFFFF" w:themeColor="background1"/>
              <w:right w:val="nil"/>
            </w:tcBorders>
            <w:noWrap/>
            <w:vAlign w:val="bottom"/>
            <w:hideMark/>
          </w:tcPr>
          <w:p w14:paraId="333CF13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3FFD64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101,6</w:t>
            </w:r>
          </w:p>
        </w:tc>
      </w:tr>
      <w:tr w:rsidR="005323F9" w14:paraId="37D02860" w14:textId="77777777" w:rsidTr="005323F9">
        <w:tc>
          <w:tcPr>
            <w:tcW w:w="1303" w:type="dxa"/>
            <w:tcBorders>
              <w:top w:val="nil"/>
              <w:left w:val="single" w:sz="4" w:space="0" w:color="auto"/>
              <w:bottom w:val="single" w:sz="4" w:space="0" w:color="FFFFFF" w:themeColor="background1"/>
              <w:right w:val="nil"/>
            </w:tcBorders>
            <w:vAlign w:val="bottom"/>
            <w:hideMark/>
          </w:tcPr>
          <w:p w14:paraId="028563F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Deutschland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259CE6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12,1</w:t>
            </w:r>
          </w:p>
        </w:tc>
        <w:tc>
          <w:tcPr>
            <w:tcW w:w="990" w:type="dxa"/>
            <w:tcBorders>
              <w:top w:val="nil"/>
              <w:left w:val="nil"/>
              <w:bottom w:val="single" w:sz="4" w:space="0" w:color="FFFFFF" w:themeColor="background1"/>
              <w:right w:val="single" w:sz="4" w:space="0" w:color="FFFFFF" w:themeColor="background1"/>
            </w:tcBorders>
            <w:vAlign w:val="bottom"/>
            <w:hideMark/>
          </w:tcPr>
          <w:p w14:paraId="5A4F478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209.017,6</w:t>
            </w:r>
          </w:p>
        </w:tc>
        <w:tc>
          <w:tcPr>
            <w:tcW w:w="990" w:type="dxa"/>
            <w:tcBorders>
              <w:top w:val="nil"/>
              <w:left w:val="nil"/>
              <w:bottom w:val="single" w:sz="4" w:space="0" w:color="FFFFFF" w:themeColor="background1"/>
              <w:right w:val="single" w:sz="4" w:space="0" w:color="FFFFFF" w:themeColor="background1"/>
            </w:tcBorders>
            <w:vAlign w:val="bottom"/>
            <w:hideMark/>
          </w:tcPr>
          <w:p w14:paraId="2E7863F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178.378,8</w:t>
            </w:r>
          </w:p>
        </w:tc>
        <w:tc>
          <w:tcPr>
            <w:tcW w:w="673" w:type="dxa"/>
            <w:tcBorders>
              <w:top w:val="nil"/>
              <w:left w:val="nil"/>
              <w:bottom w:val="single" w:sz="4" w:space="0" w:color="FFFFFF" w:themeColor="background1"/>
              <w:right w:val="single" w:sz="4" w:space="0" w:color="auto"/>
            </w:tcBorders>
            <w:noWrap/>
            <w:vAlign w:val="bottom"/>
            <w:hideMark/>
          </w:tcPr>
          <w:p w14:paraId="5BA06EC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4C66C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B3F80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127.913,8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E3133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124.293,1</w:t>
            </w:r>
          </w:p>
        </w:tc>
        <w:tc>
          <w:tcPr>
            <w:tcW w:w="673" w:type="dxa"/>
            <w:tcBorders>
              <w:top w:val="nil"/>
              <w:left w:val="nil"/>
              <w:bottom w:val="single" w:sz="4" w:space="0" w:color="FFFFFF" w:themeColor="background1"/>
              <w:right w:val="nil"/>
            </w:tcBorders>
            <w:noWrap/>
            <w:vAlign w:val="bottom"/>
            <w:hideMark/>
          </w:tcPr>
          <w:p w14:paraId="109AF5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3C0D5A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69,7</w:t>
            </w:r>
          </w:p>
        </w:tc>
      </w:tr>
      <w:tr w:rsidR="005323F9" w14:paraId="3BCE6CA4" w14:textId="77777777" w:rsidTr="005323F9">
        <w:tc>
          <w:tcPr>
            <w:tcW w:w="1303" w:type="dxa"/>
            <w:tcBorders>
              <w:top w:val="nil"/>
              <w:left w:val="single" w:sz="4" w:space="0" w:color="auto"/>
              <w:bottom w:val="single" w:sz="4" w:space="0" w:color="FFFFFF" w:themeColor="background1"/>
              <w:right w:val="nil"/>
            </w:tcBorders>
            <w:vAlign w:val="bottom"/>
            <w:hideMark/>
          </w:tcPr>
          <w:p w14:paraId="47A9CF2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Spanien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87C002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c>
          <w:tcPr>
            <w:tcW w:w="990" w:type="dxa"/>
            <w:tcBorders>
              <w:top w:val="nil"/>
              <w:left w:val="nil"/>
              <w:bottom w:val="single" w:sz="4" w:space="0" w:color="FFFFFF" w:themeColor="background1"/>
              <w:right w:val="single" w:sz="4" w:space="0" w:color="FFFFFF" w:themeColor="background1"/>
            </w:tcBorders>
            <w:vAlign w:val="bottom"/>
            <w:hideMark/>
          </w:tcPr>
          <w:p w14:paraId="281F9A5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10.122,6</w:t>
            </w:r>
          </w:p>
        </w:tc>
        <w:tc>
          <w:tcPr>
            <w:tcW w:w="990" w:type="dxa"/>
            <w:tcBorders>
              <w:top w:val="nil"/>
              <w:left w:val="nil"/>
              <w:bottom w:val="single" w:sz="4" w:space="0" w:color="FFFFFF" w:themeColor="background1"/>
              <w:right w:val="single" w:sz="4" w:space="0" w:color="FFFFFF" w:themeColor="background1"/>
            </w:tcBorders>
            <w:vAlign w:val="bottom"/>
            <w:hideMark/>
          </w:tcPr>
          <w:p w14:paraId="5F71975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11.100,6</w:t>
            </w:r>
          </w:p>
        </w:tc>
        <w:tc>
          <w:tcPr>
            <w:tcW w:w="673" w:type="dxa"/>
            <w:tcBorders>
              <w:top w:val="nil"/>
              <w:left w:val="nil"/>
              <w:bottom w:val="single" w:sz="4" w:space="0" w:color="FFFFFF" w:themeColor="background1"/>
              <w:right w:val="single" w:sz="4" w:space="0" w:color="auto"/>
            </w:tcBorders>
            <w:noWrap/>
            <w:vAlign w:val="bottom"/>
            <w:hideMark/>
          </w:tcPr>
          <w:p w14:paraId="23C8796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CE5CA6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693439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14.194,5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A94ADB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20.505,8</w:t>
            </w:r>
          </w:p>
        </w:tc>
        <w:tc>
          <w:tcPr>
            <w:tcW w:w="673" w:type="dxa"/>
            <w:tcBorders>
              <w:top w:val="nil"/>
              <w:left w:val="nil"/>
              <w:bottom w:val="single" w:sz="4" w:space="0" w:color="FFFFFF" w:themeColor="background1"/>
              <w:right w:val="nil"/>
            </w:tcBorders>
            <w:noWrap/>
            <w:vAlign w:val="bottom"/>
            <w:hideMark/>
          </w:tcPr>
          <w:p w14:paraId="04D9A9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D47EFF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184,7</w:t>
            </w:r>
          </w:p>
        </w:tc>
      </w:tr>
      <w:tr w:rsidR="005323F9" w14:paraId="669E6B84" w14:textId="77777777" w:rsidTr="005323F9">
        <w:tc>
          <w:tcPr>
            <w:tcW w:w="1303" w:type="dxa"/>
            <w:tcBorders>
              <w:top w:val="nil"/>
              <w:left w:val="single" w:sz="4" w:space="0" w:color="auto"/>
              <w:bottom w:val="single" w:sz="4" w:space="0" w:color="FFFFFF" w:themeColor="background1"/>
              <w:right w:val="nil"/>
            </w:tcBorders>
            <w:vAlign w:val="bottom"/>
            <w:hideMark/>
          </w:tcPr>
          <w:p w14:paraId="792A9E1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Italien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300331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5,7</w:t>
            </w:r>
          </w:p>
        </w:tc>
        <w:tc>
          <w:tcPr>
            <w:tcW w:w="990" w:type="dxa"/>
            <w:tcBorders>
              <w:top w:val="nil"/>
              <w:left w:val="nil"/>
              <w:bottom w:val="single" w:sz="4" w:space="0" w:color="FFFFFF" w:themeColor="background1"/>
              <w:right w:val="single" w:sz="4" w:space="0" w:color="FFFFFF" w:themeColor="background1"/>
            </w:tcBorders>
            <w:vAlign w:val="bottom"/>
            <w:hideMark/>
          </w:tcPr>
          <w:p w14:paraId="69B41B7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99.658,7</w:t>
            </w:r>
          </w:p>
        </w:tc>
        <w:tc>
          <w:tcPr>
            <w:tcW w:w="990" w:type="dxa"/>
            <w:tcBorders>
              <w:top w:val="nil"/>
              <w:left w:val="nil"/>
              <w:bottom w:val="single" w:sz="4" w:space="0" w:color="FFFFFF" w:themeColor="background1"/>
              <w:right w:val="single" w:sz="4" w:space="0" w:color="FFFFFF" w:themeColor="background1"/>
            </w:tcBorders>
            <w:vAlign w:val="bottom"/>
            <w:hideMark/>
          </w:tcPr>
          <w:p w14:paraId="3D8EB40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83.401,9</w:t>
            </w:r>
          </w:p>
        </w:tc>
        <w:tc>
          <w:tcPr>
            <w:tcW w:w="673" w:type="dxa"/>
            <w:tcBorders>
              <w:top w:val="nil"/>
              <w:left w:val="nil"/>
              <w:bottom w:val="single" w:sz="4" w:space="0" w:color="FFFFFF" w:themeColor="background1"/>
              <w:right w:val="single" w:sz="4" w:space="0" w:color="auto"/>
            </w:tcBorders>
            <w:noWrap/>
            <w:vAlign w:val="bottom"/>
            <w:hideMark/>
          </w:tcPr>
          <w:p w14:paraId="269CED1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D40A4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3EB53F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21.312,4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60033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17.896,2</w:t>
            </w:r>
          </w:p>
        </w:tc>
        <w:tc>
          <w:tcPr>
            <w:tcW w:w="673" w:type="dxa"/>
            <w:tcBorders>
              <w:top w:val="nil"/>
              <w:left w:val="nil"/>
              <w:bottom w:val="single" w:sz="4" w:space="0" w:color="FFFFFF" w:themeColor="background1"/>
              <w:right w:val="nil"/>
            </w:tcBorders>
            <w:noWrap/>
            <w:vAlign w:val="bottom"/>
            <w:hideMark/>
          </w:tcPr>
          <w:p w14:paraId="60B4104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6E2673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21,5</w:t>
            </w:r>
          </w:p>
        </w:tc>
      </w:tr>
      <w:tr w:rsidR="005323F9" w14:paraId="00C4A809" w14:textId="77777777" w:rsidTr="005323F9">
        <w:tc>
          <w:tcPr>
            <w:tcW w:w="1303" w:type="dxa"/>
            <w:tcBorders>
              <w:top w:val="nil"/>
              <w:left w:val="single" w:sz="4" w:space="0" w:color="auto"/>
              <w:bottom w:val="single" w:sz="4" w:space="0" w:color="FFFFFF" w:themeColor="background1"/>
              <w:right w:val="nil"/>
            </w:tcBorders>
            <w:vAlign w:val="bottom"/>
            <w:hideMark/>
          </w:tcPr>
          <w:p w14:paraId="668F8C2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Luxemburg</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C01A9C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56DA6AA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1.191,9</w:t>
            </w:r>
          </w:p>
        </w:tc>
        <w:tc>
          <w:tcPr>
            <w:tcW w:w="990" w:type="dxa"/>
            <w:tcBorders>
              <w:top w:val="nil"/>
              <w:left w:val="nil"/>
              <w:bottom w:val="single" w:sz="4" w:space="0" w:color="FFFFFF" w:themeColor="background1"/>
              <w:right w:val="single" w:sz="4" w:space="0" w:color="FFFFFF" w:themeColor="background1"/>
            </w:tcBorders>
            <w:vAlign w:val="bottom"/>
            <w:hideMark/>
          </w:tcPr>
          <w:p w14:paraId="1439F6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1.107,9</w:t>
            </w:r>
          </w:p>
        </w:tc>
        <w:tc>
          <w:tcPr>
            <w:tcW w:w="673" w:type="dxa"/>
            <w:tcBorders>
              <w:top w:val="nil"/>
              <w:left w:val="nil"/>
              <w:bottom w:val="single" w:sz="4" w:space="0" w:color="FFFFFF" w:themeColor="background1"/>
              <w:right w:val="single" w:sz="4" w:space="0" w:color="auto"/>
            </w:tcBorders>
            <w:noWrap/>
            <w:vAlign w:val="bottom"/>
            <w:hideMark/>
          </w:tcPr>
          <w:p w14:paraId="0EAE018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47CFEB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A44A38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15.888,0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6430F6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14.042,2</w:t>
            </w:r>
          </w:p>
        </w:tc>
        <w:tc>
          <w:tcPr>
            <w:tcW w:w="673" w:type="dxa"/>
            <w:tcBorders>
              <w:top w:val="nil"/>
              <w:left w:val="nil"/>
              <w:bottom w:val="single" w:sz="4" w:space="0" w:color="FFFFFF" w:themeColor="background1"/>
              <w:right w:val="nil"/>
            </w:tcBorders>
            <w:noWrap/>
            <w:vAlign w:val="bottom"/>
            <w:hideMark/>
          </w:tcPr>
          <w:p w14:paraId="55B17D5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1523281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1.267,5</w:t>
            </w:r>
          </w:p>
        </w:tc>
      </w:tr>
      <w:tr w:rsidR="005323F9" w14:paraId="5437AE2B" w14:textId="77777777" w:rsidTr="005323F9">
        <w:tc>
          <w:tcPr>
            <w:tcW w:w="1303" w:type="dxa"/>
            <w:tcBorders>
              <w:top w:val="nil"/>
              <w:left w:val="single" w:sz="4" w:space="0" w:color="auto"/>
              <w:bottom w:val="single" w:sz="4" w:space="0" w:color="FFFFFF" w:themeColor="background1"/>
              <w:right w:val="nil"/>
            </w:tcBorders>
            <w:vAlign w:val="bottom"/>
            <w:hideMark/>
          </w:tcPr>
          <w:p w14:paraId="136F19E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Polen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8420C2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w:t>
            </w:r>
          </w:p>
        </w:tc>
        <w:tc>
          <w:tcPr>
            <w:tcW w:w="990" w:type="dxa"/>
            <w:tcBorders>
              <w:top w:val="nil"/>
              <w:left w:val="nil"/>
              <w:bottom w:val="single" w:sz="4" w:space="0" w:color="FFFFFF" w:themeColor="background1"/>
              <w:right w:val="single" w:sz="4" w:space="0" w:color="FFFFFF" w:themeColor="background1"/>
            </w:tcBorders>
            <w:vAlign w:val="bottom"/>
            <w:hideMark/>
          </w:tcPr>
          <w:p w14:paraId="08D86F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120.152,3</w:t>
            </w:r>
          </w:p>
        </w:tc>
        <w:tc>
          <w:tcPr>
            <w:tcW w:w="990" w:type="dxa"/>
            <w:tcBorders>
              <w:top w:val="nil"/>
              <w:left w:val="nil"/>
              <w:bottom w:val="single" w:sz="4" w:space="0" w:color="FFFFFF" w:themeColor="background1"/>
              <w:right w:val="single" w:sz="4" w:space="0" w:color="FFFFFF" w:themeColor="background1"/>
            </w:tcBorders>
            <w:vAlign w:val="bottom"/>
            <w:hideMark/>
          </w:tcPr>
          <w:p w14:paraId="7245B57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106.176,2</w:t>
            </w:r>
          </w:p>
        </w:tc>
        <w:tc>
          <w:tcPr>
            <w:tcW w:w="673" w:type="dxa"/>
            <w:tcBorders>
              <w:top w:val="nil"/>
              <w:left w:val="nil"/>
              <w:bottom w:val="single" w:sz="4" w:space="0" w:color="FFFFFF" w:themeColor="background1"/>
              <w:right w:val="single" w:sz="4" w:space="0" w:color="auto"/>
            </w:tcBorders>
            <w:noWrap/>
            <w:vAlign w:val="bottom"/>
            <w:hideMark/>
          </w:tcPr>
          <w:p w14:paraId="774FA24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-11,6</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5128D8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3CC9CB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11.577,5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BA4A0B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8.929,3</w:t>
            </w:r>
          </w:p>
        </w:tc>
        <w:tc>
          <w:tcPr>
            <w:tcW w:w="673" w:type="dxa"/>
            <w:tcBorders>
              <w:top w:val="nil"/>
              <w:left w:val="nil"/>
              <w:bottom w:val="single" w:sz="4" w:space="0" w:color="FFFFFF" w:themeColor="background1"/>
              <w:right w:val="nil"/>
            </w:tcBorders>
            <w:noWrap/>
            <w:vAlign w:val="bottom"/>
            <w:hideMark/>
          </w:tcPr>
          <w:p w14:paraId="45B6B27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CE8A6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w:t>
            </w:r>
          </w:p>
        </w:tc>
      </w:tr>
      <w:tr w:rsidR="005323F9" w14:paraId="624682FA" w14:textId="77777777" w:rsidTr="005323F9">
        <w:tc>
          <w:tcPr>
            <w:tcW w:w="1303" w:type="dxa"/>
            <w:tcBorders>
              <w:top w:val="nil"/>
              <w:left w:val="single" w:sz="4" w:space="0" w:color="auto"/>
              <w:bottom w:val="single" w:sz="4" w:space="0" w:color="FFFFFF" w:themeColor="background1"/>
              <w:right w:val="nil"/>
            </w:tcBorders>
            <w:vAlign w:val="bottom"/>
            <w:hideMark/>
          </w:tcPr>
          <w:p w14:paraId="7721993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Irland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EFF948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DF26FF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1.510,1</w:t>
            </w:r>
          </w:p>
        </w:tc>
        <w:tc>
          <w:tcPr>
            <w:tcW w:w="990" w:type="dxa"/>
            <w:tcBorders>
              <w:top w:val="nil"/>
              <w:left w:val="nil"/>
              <w:bottom w:val="single" w:sz="4" w:space="0" w:color="FFFFFF" w:themeColor="background1"/>
              <w:right w:val="single" w:sz="4" w:space="0" w:color="FFFFFF" w:themeColor="background1"/>
            </w:tcBorders>
            <w:vAlign w:val="bottom"/>
            <w:hideMark/>
          </w:tcPr>
          <w:p w14:paraId="28BD23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479,0</w:t>
            </w:r>
          </w:p>
        </w:tc>
        <w:tc>
          <w:tcPr>
            <w:tcW w:w="673" w:type="dxa"/>
            <w:tcBorders>
              <w:top w:val="nil"/>
              <w:left w:val="nil"/>
              <w:bottom w:val="single" w:sz="4" w:space="0" w:color="FFFFFF" w:themeColor="background1"/>
              <w:right w:val="single" w:sz="4" w:space="0" w:color="auto"/>
            </w:tcBorders>
            <w:noWrap/>
            <w:vAlign w:val="bottom"/>
            <w:hideMark/>
          </w:tcPr>
          <w:p w14:paraId="7AF693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094A0C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0E9551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8.215,1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272999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8.614,4</w:t>
            </w:r>
          </w:p>
        </w:tc>
        <w:tc>
          <w:tcPr>
            <w:tcW w:w="673" w:type="dxa"/>
            <w:tcBorders>
              <w:top w:val="nil"/>
              <w:left w:val="nil"/>
              <w:bottom w:val="single" w:sz="4" w:space="0" w:color="FFFFFF" w:themeColor="background1"/>
              <w:right w:val="nil"/>
            </w:tcBorders>
            <w:noWrap/>
            <w:vAlign w:val="bottom"/>
            <w:hideMark/>
          </w:tcPr>
          <w:p w14:paraId="117C0DB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F267A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1.798,6</w:t>
            </w:r>
          </w:p>
        </w:tc>
      </w:tr>
      <w:tr w:rsidR="005323F9" w14:paraId="27F7B6F5" w14:textId="77777777" w:rsidTr="005323F9">
        <w:tc>
          <w:tcPr>
            <w:tcW w:w="1303" w:type="dxa"/>
            <w:tcBorders>
              <w:top w:val="nil"/>
              <w:left w:val="single" w:sz="4" w:space="0" w:color="auto"/>
              <w:bottom w:val="single" w:sz="4" w:space="0" w:color="FFFFFF" w:themeColor="background1"/>
              <w:right w:val="nil"/>
            </w:tcBorders>
            <w:vAlign w:val="bottom"/>
            <w:hideMark/>
          </w:tcPr>
          <w:p w14:paraId="461BA974"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Österreich</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E40B1E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02F631A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5.792,4</w:t>
            </w:r>
          </w:p>
        </w:tc>
        <w:tc>
          <w:tcPr>
            <w:tcW w:w="990" w:type="dxa"/>
            <w:tcBorders>
              <w:top w:val="nil"/>
              <w:left w:val="nil"/>
              <w:bottom w:val="single" w:sz="4" w:space="0" w:color="FFFFFF" w:themeColor="background1"/>
              <w:right w:val="single" w:sz="4" w:space="0" w:color="FFFFFF" w:themeColor="background1"/>
            </w:tcBorders>
            <w:vAlign w:val="bottom"/>
            <w:hideMark/>
          </w:tcPr>
          <w:p w14:paraId="39DABC3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2.906,1</w:t>
            </w:r>
          </w:p>
        </w:tc>
        <w:tc>
          <w:tcPr>
            <w:tcW w:w="673" w:type="dxa"/>
            <w:tcBorders>
              <w:top w:val="nil"/>
              <w:left w:val="nil"/>
              <w:bottom w:val="single" w:sz="4" w:space="0" w:color="FFFFFF" w:themeColor="background1"/>
              <w:right w:val="single" w:sz="4" w:space="0" w:color="auto"/>
            </w:tcBorders>
            <w:noWrap/>
            <w:vAlign w:val="bottom"/>
            <w:hideMark/>
          </w:tcPr>
          <w:p w14:paraId="177446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-49,8</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2BAF10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8BCDA8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6.788,9</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018501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6.530,7</w:t>
            </w:r>
          </w:p>
        </w:tc>
        <w:tc>
          <w:tcPr>
            <w:tcW w:w="673" w:type="dxa"/>
            <w:tcBorders>
              <w:top w:val="nil"/>
              <w:left w:val="nil"/>
              <w:bottom w:val="single" w:sz="4" w:space="0" w:color="FFFFFF" w:themeColor="background1"/>
              <w:right w:val="nil"/>
            </w:tcBorders>
            <w:noWrap/>
            <w:vAlign w:val="bottom"/>
            <w:hideMark/>
          </w:tcPr>
          <w:p w14:paraId="7FC5ADD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DABEED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224,7</w:t>
            </w:r>
          </w:p>
        </w:tc>
      </w:tr>
      <w:tr w:rsidR="005323F9" w14:paraId="1EAF959A" w14:textId="77777777" w:rsidTr="005323F9">
        <w:tc>
          <w:tcPr>
            <w:tcW w:w="1303" w:type="dxa"/>
            <w:tcBorders>
              <w:top w:val="nil"/>
              <w:left w:val="single" w:sz="4" w:space="0" w:color="auto"/>
              <w:bottom w:val="single" w:sz="4" w:space="0" w:color="FFFFFF" w:themeColor="background1"/>
              <w:right w:val="nil"/>
            </w:tcBorders>
            <w:vAlign w:val="bottom"/>
            <w:hideMark/>
          </w:tcPr>
          <w:p w14:paraId="6532959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Portugal</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0A1B1B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362BE7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5.634,2</w:t>
            </w:r>
          </w:p>
        </w:tc>
        <w:tc>
          <w:tcPr>
            <w:tcW w:w="990" w:type="dxa"/>
            <w:tcBorders>
              <w:top w:val="nil"/>
              <w:left w:val="nil"/>
              <w:bottom w:val="single" w:sz="4" w:space="0" w:color="FFFFFF" w:themeColor="background1"/>
              <w:right w:val="single" w:sz="4" w:space="0" w:color="FFFFFF" w:themeColor="background1"/>
            </w:tcBorders>
            <w:vAlign w:val="bottom"/>
            <w:hideMark/>
          </w:tcPr>
          <w:p w14:paraId="4D55D17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3.479,7</w:t>
            </w:r>
          </w:p>
        </w:tc>
        <w:tc>
          <w:tcPr>
            <w:tcW w:w="673" w:type="dxa"/>
            <w:tcBorders>
              <w:top w:val="nil"/>
              <w:left w:val="nil"/>
              <w:bottom w:val="single" w:sz="4" w:space="0" w:color="FFFFFF" w:themeColor="background1"/>
              <w:right w:val="single" w:sz="4" w:space="0" w:color="auto"/>
            </w:tcBorders>
            <w:noWrap/>
            <w:vAlign w:val="bottom"/>
            <w:hideMark/>
          </w:tcPr>
          <w:p w14:paraId="705271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5E05F8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BBCA75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5.139,8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F6D69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4.687,1</w:t>
            </w:r>
          </w:p>
        </w:tc>
        <w:tc>
          <w:tcPr>
            <w:tcW w:w="673" w:type="dxa"/>
            <w:tcBorders>
              <w:top w:val="nil"/>
              <w:left w:val="nil"/>
              <w:bottom w:val="single" w:sz="4" w:space="0" w:color="FFFFFF" w:themeColor="background1"/>
              <w:right w:val="nil"/>
            </w:tcBorders>
            <w:noWrap/>
            <w:vAlign w:val="bottom"/>
            <w:hideMark/>
          </w:tcPr>
          <w:p w14:paraId="2384E24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BEA183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134,7</w:t>
            </w:r>
          </w:p>
        </w:tc>
      </w:tr>
      <w:tr w:rsidR="005323F9" w14:paraId="4DD9432F" w14:textId="77777777" w:rsidTr="005323F9">
        <w:tc>
          <w:tcPr>
            <w:tcW w:w="1303" w:type="dxa"/>
            <w:tcBorders>
              <w:top w:val="nil"/>
              <w:left w:val="single" w:sz="4" w:space="0" w:color="auto"/>
              <w:bottom w:val="single" w:sz="4" w:space="0" w:color="FFFFFF" w:themeColor="background1"/>
              <w:right w:val="nil"/>
            </w:tcBorders>
            <w:vAlign w:val="bottom"/>
            <w:hideMark/>
          </w:tcPr>
          <w:p w14:paraId="510B017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Schweden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E435DB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w:t>
            </w:r>
          </w:p>
        </w:tc>
        <w:tc>
          <w:tcPr>
            <w:tcW w:w="990" w:type="dxa"/>
            <w:tcBorders>
              <w:top w:val="nil"/>
              <w:left w:val="nil"/>
              <w:bottom w:val="single" w:sz="4" w:space="0" w:color="FFFFFF" w:themeColor="background1"/>
              <w:right w:val="single" w:sz="4" w:space="0" w:color="FFFFFF" w:themeColor="background1"/>
            </w:tcBorders>
            <w:vAlign w:val="bottom"/>
            <w:hideMark/>
          </w:tcPr>
          <w:p w14:paraId="696EED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22.152,9</w:t>
            </w:r>
          </w:p>
        </w:tc>
        <w:tc>
          <w:tcPr>
            <w:tcW w:w="990" w:type="dxa"/>
            <w:tcBorders>
              <w:top w:val="nil"/>
              <w:left w:val="nil"/>
              <w:bottom w:val="single" w:sz="4" w:space="0" w:color="FFFFFF" w:themeColor="background1"/>
              <w:right w:val="single" w:sz="4" w:space="0" w:color="FFFFFF" w:themeColor="background1"/>
            </w:tcBorders>
            <w:vAlign w:val="bottom"/>
            <w:hideMark/>
          </w:tcPr>
          <w:p w14:paraId="5F8CC96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17.354,5</w:t>
            </w:r>
          </w:p>
        </w:tc>
        <w:tc>
          <w:tcPr>
            <w:tcW w:w="673" w:type="dxa"/>
            <w:tcBorders>
              <w:top w:val="nil"/>
              <w:left w:val="nil"/>
              <w:bottom w:val="single" w:sz="4" w:space="0" w:color="FFFFFF" w:themeColor="background1"/>
              <w:right w:val="single" w:sz="4" w:space="0" w:color="auto"/>
            </w:tcBorders>
            <w:noWrap/>
            <w:vAlign w:val="bottom"/>
            <w:hideMark/>
          </w:tcPr>
          <w:p w14:paraId="371880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1F7BBB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7EA2E6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7.170,5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E022E9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4.674,8</w:t>
            </w:r>
          </w:p>
        </w:tc>
        <w:tc>
          <w:tcPr>
            <w:tcW w:w="673" w:type="dxa"/>
            <w:tcBorders>
              <w:top w:val="nil"/>
              <w:left w:val="nil"/>
              <w:bottom w:val="single" w:sz="4" w:space="0" w:color="FFFFFF" w:themeColor="background1"/>
              <w:right w:val="nil"/>
            </w:tcBorders>
            <w:noWrap/>
            <w:vAlign w:val="bottom"/>
            <w:hideMark/>
          </w:tcPr>
          <w:p w14:paraId="44C1E0D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-34,8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CDAB8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26,9</w:t>
            </w:r>
          </w:p>
        </w:tc>
      </w:tr>
      <w:tr w:rsidR="005323F9" w14:paraId="6AC6D7DE" w14:textId="77777777" w:rsidTr="005323F9">
        <w:tc>
          <w:tcPr>
            <w:tcW w:w="1303" w:type="dxa"/>
            <w:tcBorders>
              <w:top w:val="nil"/>
              <w:left w:val="single" w:sz="4" w:space="0" w:color="auto"/>
              <w:bottom w:val="single" w:sz="4" w:space="0" w:color="FFFFFF" w:themeColor="background1"/>
              <w:right w:val="nil"/>
            </w:tcBorders>
            <w:vAlign w:val="bottom"/>
            <w:hideMark/>
          </w:tcPr>
          <w:p w14:paraId="22F346E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Tschechen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9F4DEA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c>
          <w:tcPr>
            <w:tcW w:w="990" w:type="dxa"/>
            <w:tcBorders>
              <w:top w:val="nil"/>
              <w:left w:val="nil"/>
              <w:bottom w:val="single" w:sz="4" w:space="0" w:color="FFFFFF" w:themeColor="background1"/>
              <w:right w:val="single" w:sz="4" w:space="0" w:color="FFFFFF" w:themeColor="background1"/>
            </w:tcBorders>
            <w:vAlign w:val="bottom"/>
            <w:hideMark/>
          </w:tcPr>
          <w:p w14:paraId="720F27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35.172,4</w:t>
            </w:r>
          </w:p>
        </w:tc>
        <w:tc>
          <w:tcPr>
            <w:tcW w:w="990" w:type="dxa"/>
            <w:tcBorders>
              <w:top w:val="nil"/>
              <w:left w:val="nil"/>
              <w:bottom w:val="single" w:sz="4" w:space="0" w:color="FFFFFF" w:themeColor="background1"/>
              <w:right w:val="single" w:sz="4" w:space="0" w:color="FFFFFF" w:themeColor="background1"/>
            </w:tcBorders>
            <w:vAlign w:val="bottom"/>
            <w:hideMark/>
          </w:tcPr>
          <w:p w14:paraId="4A6C44F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11.856,5</w:t>
            </w:r>
          </w:p>
        </w:tc>
        <w:tc>
          <w:tcPr>
            <w:tcW w:w="673" w:type="dxa"/>
            <w:tcBorders>
              <w:top w:val="nil"/>
              <w:left w:val="nil"/>
              <w:bottom w:val="single" w:sz="4" w:space="0" w:color="FFFFFF" w:themeColor="background1"/>
              <w:right w:val="single" w:sz="4" w:space="0" w:color="auto"/>
            </w:tcBorders>
            <w:noWrap/>
            <w:vAlign w:val="bottom"/>
            <w:hideMark/>
          </w:tcPr>
          <w:p w14:paraId="369F0A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-66,3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E518FC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A04C2B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4.734,3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3ADE98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4.267,4</w:t>
            </w:r>
          </w:p>
        </w:tc>
        <w:tc>
          <w:tcPr>
            <w:tcW w:w="673" w:type="dxa"/>
            <w:tcBorders>
              <w:top w:val="nil"/>
              <w:left w:val="nil"/>
              <w:bottom w:val="single" w:sz="4" w:space="0" w:color="FFFFFF" w:themeColor="background1"/>
              <w:right w:val="nil"/>
            </w:tcBorders>
            <w:noWrap/>
            <w:vAlign w:val="bottom"/>
            <w:hideMark/>
          </w:tcPr>
          <w:p w14:paraId="51E3AE3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6A032B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36,0</w:t>
            </w:r>
          </w:p>
        </w:tc>
      </w:tr>
      <w:tr w:rsidR="005323F9" w14:paraId="6489A950" w14:textId="77777777" w:rsidTr="005323F9">
        <w:tc>
          <w:tcPr>
            <w:tcW w:w="1303" w:type="dxa"/>
            <w:tcBorders>
              <w:top w:val="nil"/>
              <w:left w:val="single" w:sz="4" w:space="0" w:color="auto"/>
              <w:bottom w:val="single" w:sz="4" w:space="0" w:color="FFFFFF" w:themeColor="background1"/>
              <w:right w:val="nil"/>
            </w:tcBorders>
            <w:vAlign w:val="bottom"/>
            <w:hideMark/>
          </w:tcPr>
          <w:p w14:paraId="695458B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Dänemark</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3DCEC2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w:t>
            </w:r>
          </w:p>
        </w:tc>
        <w:tc>
          <w:tcPr>
            <w:tcW w:w="990" w:type="dxa"/>
            <w:tcBorders>
              <w:top w:val="nil"/>
              <w:left w:val="nil"/>
              <w:bottom w:val="single" w:sz="4" w:space="0" w:color="FFFFFF" w:themeColor="background1"/>
              <w:right w:val="single" w:sz="4" w:space="0" w:color="FFFFFF" w:themeColor="background1"/>
            </w:tcBorders>
            <w:vAlign w:val="bottom"/>
            <w:hideMark/>
          </w:tcPr>
          <w:p w14:paraId="2D5C756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25.553,3</w:t>
            </w:r>
          </w:p>
        </w:tc>
        <w:tc>
          <w:tcPr>
            <w:tcW w:w="990" w:type="dxa"/>
            <w:tcBorders>
              <w:top w:val="nil"/>
              <w:left w:val="nil"/>
              <w:bottom w:val="single" w:sz="4" w:space="0" w:color="FFFFFF" w:themeColor="background1"/>
              <w:right w:val="single" w:sz="4" w:space="0" w:color="FFFFFF" w:themeColor="background1"/>
            </w:tcBorders>
            <w:vAlign w:val="bottom"/>
            <w:hideMark/>
          </w:tcPr>
          <w:p w14:paraId="4F11A79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26.921,6</w:t>
            </w:r>
          </w:p>
        </w:tc>
        <w:tc>
          <w:tcPr>
            <w:tcW w:w="673" w:type="dxa"/>
            <w:tcBorders>
              <w:top w:val="nil"/>
              <w:left w:val="nil"/>
              <w:bottom w:val="single" w:sz="4" w:space="0" w:color="FFFFFF" w:themeColor="background1"/>
              <w:right w:val="single" w:sz="4" w:space="0" w:color="auto"/>
            </w:tcBorders>
            <w:noWrap/>
            <w:vAlign w:val="bottom"/>
            <w:hideMark/>
          </w:tcPr>
          <w:p w14:paraId="7357599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915F5B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A8035E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4.318,3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3A2048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3.722,9</w:t>
            </w:r>
          </w:p>
        </w:tc>
        <w:tc>
          <w:tcPr>
            <w:tcW w:w="673" w:type="dxa"/>
            <w:tcBorders>
              <w:top w:val="nil"/>
              <w:left w:val="nil"/>
              <w:bottom w:val="single" w:sz="4" w:space="0" w:color="FFFFFF" w:themeColor="background1"/>
              <w:right w:val="nil"/>
            </w:tcBorders>
            <w:noWrap/>
            <w:vAlign w:val="bottom"/>
            <w:hideMark/>
          </w:tcPr>
          <w:p w14:paraId="7994FF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41A6B0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13,8</w:t>
            </w:r>
          </w:p>
        </w:tc>
      </w:tr>
      <w:tr w:rsidR="005323F9" w14:paraId="6C8C47A5" w14:textId="77777777" w:rsidTr="005323F9">
        <w:tc>
          <w:tcPr>
            <w:tcW w:w="1303" w:type="dxa"/>
            <w:tcBorders>
              <w:top w:val="nil"/>
              <w:left w:val="single" w:sz="4" w:space="0" w:color="auto"/>
              <w:bottom w:val="single" w:sz="4" w:space="0" w:color="FFFFFF" w:themeColor="background1"/>
              <w:right w:val="nil"/>
            </w:tcBorders>
            <w:vAlign w:val="bottom"/>
            <w:hideMark/>
          </w:tcPr>
          <w:p w14:paraId="103148D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Litauen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DC5283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w:t>
            </w:r>
          </w:p>
        </w:tc>
        <w:tc>
          <w:tcPr>
            <w:tcW w:w="990" w:type="dxa"/>
            <w:tcBorders>
              <w:top w:val="nil"/>
              <w:left w:val="nil"/>
              <w:bottom w:val="single" w:sz="4" w:space="0" w:color="FFFFFF" w:themeColor="background1"/>
              <w:right w:val="single" w:sz="4" w:space="0" w:color="FFFFFF" w:themeColor="background1"/>
            </w:tcBorders>
            <w:vAlign w:val="bottom"/>
            <w:hideMark/>
          </w:tcPr>
          <w:p w14:paraId="1FA4AF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12.472,1</w:t>
            </w:r>
          </w:p>
        </w:tc>
        <w:tc>
          <w:tcPr>
            <w:tcW w:w="990" w:type="dxa"/>
            <w:tcBorders>
              <w:top w:val="nil"/>
              <w:left w:val="nil"/>
              <w:bottom w:val="single" w:sz="4" w:space="0" w:color="FFFFFF" w:themeColor="background1"/>
              <w:right w:val="single" w:sz="4" w:space="0" w:color="FFFFFF" w:themeColor="background1"/>
            </w:tcBorders>
            <w:vAlign w:val="bottom"/>
            <w:hideMark/>
          </w:tcPr>
          <w:p w14:paraId="0BE712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13.970,8</w:t>
            </w:r>
          </w:p>
        </w:tc>
        <w:tc>
          <w:tcPr>
            <w:tcW w:w="673" w:type="dxa"/>
            <w:tcBorders>
              <w:top w:val="nil"/>
              <w:left w:val="nil"/>
              <w:bottom w:val="single" w:sz="4" w:space="0" w:color="FFFFFF" w:themeColor="background1"/>
              <w:right w:val="single" w:sz="4" w:space="0" w:color="auto"/>
            </w:tcBorders>
            <w:noWrap/>
            <w:vAlign w:val="bottom"/>
            <w:hideMark/>
          </w:tcPr>
          <w:p w14:paraId="3AB1B2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E0B44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1566C8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3.235,5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B8E3C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2.024,5</w:t>
            </w:r>
          </w:p>
        </w:tc>
        <w:tc>
          <w:tcPr>
            <w:tcW w:w="673" w:type="dxa"/>
            <w:tcBorders>
              <w:top w:val="nil"/>
              <w:left w:val="nil"/>
              <w:bottom w:val="single" w:sz="4" w:space="0" w:color="FFFFFF" w:themeColor="background1"/>
              <w:right w:val="nil"/>
            </w:tcBorders>
            <w:noWrap/>
            <w:vAlign w:val="bottom"/>
            <w:hideMark/>
          </w:tcPr>
          <w:p w14:paraId="6AA2A3B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C6FEAB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14,5</w:t>
            </w:r>
          </w:p>
        </w:tc>
      </w:tr>
      <w:tr w:rsidR="005323F9" w14:paraId="6CF5AA21" w14:textId="77777777" w:rsidTr="005323F9">
        <w:tc>
          <w:tcPr>
            <w:tcW w:w="1303" w:type="dxa"/>
            <w:tcBorders>
              <w:top w:val="nil"/>
              <w:left w:val="single" w:sz="4" w:space="0" w:color="auto"/>
              <w:bottom w:val="single" w:sz="4" w:space="0" w:color="FFFFFF" w:themeColor="background1"/>
              <w:right w:val="nil"/>
            </w:tcBorders>
            <w:vAlign w:val="bottom"/>
            <w:hideMark/>
          </w:tcPr>
          <w:p w14:paraId="5CA564C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Rumänien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017E6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w:t>
            </w:r>
          </w:p>
        </w:tc>
        <w:tc>
          <w:tcPr>
            <w:tcW w:w="990" w:type="dxa"/>
            <w:tcBorders>
              <w:top w:val="nil"/>
              <w:left w:val="nil"/>
              <w:bottom w:val="single" w:sz="4" w:space="0" w:color="FFFFFF" w:themeColor="background1"/>
              <w:right w:val="single" w:sz="4" w:space="0" w:color="FFFFFF" w:themeColor="background1"/>
            </w:tcBorders>
            <w:vAlign w:val="bottom"/>
            <w:hideMark/>
          </w:tcPr>
          <w:p w14:paraId="3FE1970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51.657,9</w:t>
            </w:r>
          </w:p>
        </w:tc>
        <w:tc>
          <w:tcPr>
            <w:tcW w:w="990" w:type="dxa"/>
            <w:tcBorders>
              <w:top w:val="nil"/>
              <w:left w:val="nil"/>
              <w:bottom w:val="single" w:sz="4" w:space="0" w:color="FFFFFF" w:themeColor="background1"/>
              <w:right w:val="single" w:sz="4" w:space="0" w:color="FFFFFF" w:themeColor="background1"/>
            </w:tcBorders>
            <w:vAlign w:val="bottom"/>
            <w:hideMark/>
          </w:tcPr>
          <w:p w14:paraId="4C6BCF9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28.659,4</w:t>
            </w:r>
          </w:p>
        </w:tc>
        <w:tc>
          <w:tcPr>
            <w:tcW w:w="673" w:type="dxa"/>
            <w:tcBorders>
              <w:top w:val="nil"/>
              <w:left w:val="nil"/>
              <w:bottom w:val="single" w:sz="4" w:space="0" w:color="FFFFFF" w:themeColor="background1"/>
              <w:right w:val="single" w:sz="4" w:space="0" w:color="auto"/>
            </w:tcBorders>
            <w:noWrap/>
            <w:vAlign w:val="bottom"/>
            <w:hideMark/>
          </w:tcPr>
          <w:p w14:paraId="5F08C5B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-44,5</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E9554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1C6190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1.925,1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7BB75F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2.017,3</w:t>
            </w:r>
          </w:p>
        </w:tc>
        <w:tc>
          <w:tcPr>
            <w:tcW w:w="673" w:type="dxa"/>
            <w:tcBorders>
              <w:top w:val="nil"/>
              <w:left w:val="nil"/>
              <w:bottom w:val="single" w:sz="4" w:space="0" w:color="FFFFFF" w:themeColor="background1"/>
              <w:right w:val="nil"/>
            </w:tcBorders>
            <w:noWrap/>
            <w:vAlign w:val="bottom"/>
            <w:hideMark/>
          </w:tcPr>
          <w:p w14:paraId="4DA95CC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558DBD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7,0</w:t>
            </w:r>
          </w:p>
        </w:tc>
      </w:tr>
      <w:tr w:rsidR="005323F9" w14:paraId="57623EBA" w14:textId="77777777" w:rsidTr="005323F9">
        <w:tc>
          <w:tcPr>
            <w:tcW w:w="1303" w:type="dxa"/>
            <w:tcBorders>
              <w:top w:val="nil"/>
              <w:left w:val="single" w:sz="4" w:space="0" w:color="auto"/>
              <w:bottom w:val="single" w:sz="4" w:space="0" w:color="FFFFFF" w:themeColor="background1"/>
              <w:right w:val="nil"/>
            </w:tcBorders>
            <w:vAlign w:val="bottom"/>
            <w:hideMark/>
          </w:tcPr>
          <w:p w14:paraId="278C9FA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Griechenland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8D5F0F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28ABE2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66,0</w:t>
            </w:r>
          </w:p>
        </w:tc>
        <w:tc>
          <w:tcPr>
            <w:tcW w:w="990" w:type="dxa"/>
            <w:tcBorders>
              <w:top w:val="nil"/>
              <w:left w:val="nil"/>
              <w:bottom w:val="single" w:sz="4" w:space="0" w:color="FFFFFF" w:themeColor="background1"/>
              <w:right w:val="single" w:sz="4" w:space="0" w:color="FFFFFF" w:themeColor="background1"/>
            </w:tcBorders>
            <w:vAlign w:val="bottom"/>
            <w:hideMark/>
          </w:tcPr>
          <w:p w14:paraId="3FAE9AE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133,5</w:t>
            </w:r>
          </w:p>
        </w:tc>
        <w:tc>
          <w:tcPr>
            <w:tcW w:w="673" w:type="dxa"/>
            <w:tcBorders>
              <w:top w:val="nil"/>
              <w:left w:val="nil"/>
              <w:bottom w:val="single" w:sz="4" w:space="0" w:color="FFFFFF" w:themeColor="background1"/>
              <w:right w:val="single" w:sz="4" w:space="0" w:color="auto"/>
            </w:tcBorders>
            <w:noWrap/>
            <w:vAlign w:val="bottom"/>
            <w:hideMark/>
          </w:tcPr>
          <w:p w14:paraId="2878EE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102,2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26DFD5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09E099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1.344,2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9E3BFA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1.857,4</w:t>
            </w:r>
          </w:p>
        </w:tc>
        <w:tc>
          <w:tcPr>
            <w:tcW w:w="673" w:type="dxa"/>
            <w:tcBorders>
              <w:top w:val="nil"/>
              <w:left w:val="nil"/>
              <w:bottom w:val="single" w:sz="4" w:space="0" w:color="FFFFFF" w:themeColor="background1"/>
              <w:right w:val="nil"/>
            </w:tcBorders>
            <w:noWrap/>
            <w:vAlign w:val="bottom"/>
            <w:hideMark/>
          </w:tcPr>
          <w:p w14:paraId="513C27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BC674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1.391,1</w:t>
            </w:r>
          </w:p>
        </w:tc>
      </w:tr>
      <w:tr w:rsidR="005323F9" w14:paraId="2BF27FAC" w14:textId="77777777" w:rsidTr="005323F9">
        <w:tc>
          <w:tcPr>
            <w:tcW w:w="1303" w:type="dxa"/>
            <w:tcBorders>
              <w:top w:val="nil"/>
              <w:left w:val="single" w:sz="4" w:space="0" w:color="auto"/>
              <w:bottom w:val="single" w:sz="4" w:space="0" w:color="FFFFFF" w:themeColor="background1"/>
              <w:right w:val="nil"/>
            </w:tcBorders>
            <w:vAlign w:val="bottom"/>
            <w:hideMark/>
          </w:tcPr>
          <w:p w14:paraId="6F0D418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Ungarn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A96ED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3B16706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11.383,7</w:t>
            </w:r>
          </w:p>
        </w:tc>
        <w:tc>
          <w:tcPr>
            <w:tcW w:w="990" w:type="dxa"/>
            <w:tcBorders>
              <w:top w:val="nil"/>
              <w:left w:val="nil"/>
              <w:bottom w:val="single" w:sz="4" w:space="0" w:color="FFFFFF" w:themeColor="background1"/>
              <w:right w:val="single" w:sz="4" w:space="0" w:color="FFFFFF" w:themeColor="background1"/>
            </w:tcBorders>
            <w:vAlign w:val="bottom"/>
            <w:hideMark/>
          </w:tcPr>
          <w:p w14:paraId="66E3061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3.213,0</w:t>
            </w:r>
          </w:p>
        </w:tc>
        <w:tc>
          <w:tcPr>
            <w:tcW w:w="673" w:type="dxa"/>
            <w:tcBorders>
              <w:top w:val="nil"/>
              <w:left w:val="nil"/>
              <w:bottom w:val="single" w:sz="4" w:space="0" w:color="FFFFFF" w:themeColor="background1"/>
              <w:right w:val="single" w:sz="4" w:space="0" w:color="auto"/>
            </w:tcBorders>
            <w:noWrap/>
            <w:vAlign w:val="bottom"/>
            <w:hideMark/>
          </w:tcPr>
          <w:p w14:paraId="2E6CB48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-71,8</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B56B7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8B73C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1.878,2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89B37A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1.717,6</w:t>
            </w:r>
          </w:p>
        </w:tc>
        <w:tc>
          <w:tcPr>
            <w:tcW w:w="673" w:type="dxa"/>
            <w:tcBorders>
              <w:top w:val="nil"/>
              <w:left w:val="nil"/>
              <w:bottom w:val="single" w:sz="4" w:space="0" w:color="FFFFFF" w:themeColor="background1"/>
              <w:right w:val="nil"/>
            </w:tcBorders>
            <w:noWrap/>
            <w:vAlign w:val="bottom"/>
            <w:hideMark/>
          </w:tcPr>
          <w:p w14:paraId="55B3E01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0A95A1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53,5</w:t>
            </w:r>
          </w:p>
        </w:tc>
      </w:tr>
      <w:tr w:rsidR="005323F9" w14:paraId="2DFDF810" w14:textId="77777777" w:rsidTr="005323F9">
        <w:tc>
          <w:tcPr>
            <w:tcW w:w="1303" w:type="dxa"/>
            <w:tcBorders>
              <w:top w:val="nil"/>
              <w:left w:val="single" w:sz="4" w:space="0" w:color="auto"/>
              <w:bottom w:val="single" w:sz="4" w:space="0" w:color="FFFFFF" w:themeColor="background1"/>
              <w:right w:val="nil"/>
            </w:tcBorders>
            <w:vAlign w:val="bottom"/>
            <w:hideMark/>
          </w:tcPr>
          <w:p w14:paraId="1118B670"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Estland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C1BAF1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4D180AD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1.895,9</w:t>
            </w:r>
          </w:p>
        </w:tc>
        <w:tc>
          <w:tcPr>
            <w:tcW w:w="990" w:type="dxa"/>
            <w:tcBorders>
              <w:top w:val="nil"/>
              <w:left w:val="nil"/>
              <w:bottom w:val="single" w:sz="4" w:space="0" w:color="FFFFFF" w:themeColor="background1"/>
              <w:right w:val="single" w:sz="4" w:space="0" w:color="FFFFFF" w:themeColor="background1"/>
            </w:tcBorders>
            <w:vAlign w:val="bottom"/>
            <w:hideMark/>
          </w:tcPr>
          <w:p w14:paraId="2E65016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852,1</w:t>
            </w:r>
          </w:p>
        </w:tc>
        <w:tc>
          <w:tcPr>
            <w:tcW w:w="673" w:type="dxa"/>
            <w:tcBorders>
              <w:top w:val="nil"/>
              <w:left w:val="nil"/>
              <w:bottom w:val="single" w:sz="4" w:space="0" w:color="FFFFFF" w:themeColor="background1"/>
              <w:right w:val="single" w:sz="4" w:space="0" w:color="auto"/>
            </w:tcBorders>
            <w:noWrap/>
            <w:vAlign w:val="bottom"/>
            <w:hideMark/>
          </w:tcPr>
          <w:p w14:paraId="73F456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-55,1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FB532D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56BC1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954,5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1DA58C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887,0</w:t>
            </w:r>
          </w:p>
        </w:tc>
        <w:tc>
          <w:tcPr>
            <w:tcW w:w="673" w:type="dxa"/>
            <w:tcBorders>
              <w:top w:val="nil"/>
              <w:left w:val="nil"/>
              <w:bottom w:val="single" w:sz="4" w:space="0" w:color="FFFFFF" w:themeColor="background1"/>
              <w:right w:val="nil"/>
            </w:tcBorders>
            <w:noWrap/>
            <w:vAlign w:val="bottom"/>
            <w:hideMark/>
          </w:tcPr>
          <w:p w14:paraId="608BCB1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DFA14D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104,1</w:t>
            </w:r>
          </w:p>
        </w:tc>
      </w:tr>
      <w:tr w:rsidR="005323F9" w14:paraId="290A6A02" w14:textId="77777777" w:rsidTr="005323F9">
        <w:tc>
          <w:tcPr>
            <w:tcW w:w="1303" w:type="dxa"/>
            <w:tcBorders>
              <w:top w:val="nil"/>
              <w:left w:val="single" w:sz="4" w:space="0" w:color="auto"/>
              <w:bottom w:val="single" w:sz="4" w:space="0" w:color="FFFFFF" w:themeColor="background1"/>
              <w:right w:val="nil"/>
            </w:tcBorders>
            <w:vAlign w:val="bottom"/>
            <w:hideMark/>
          </w:tcPr>
          <w:p w14:paraId="032238C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lastRenderedPageBreak/>
              <w:t>Zypern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2E928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5C83F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7E276D5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w:t>
            </w:r>
          </w:p>
        </w:tc>
        <w:tc>
          <w:tcPr>
            <w:tcW w:w="673" w:type="dxa"/>
            <w:tcBorders>
              <w:top w:val="nil"/>
              <w:left w:val="nil"/>
              <w:bottom w:val="single" w:sz="4" w:space="0" w:color="FFFFFF" w:themeColor="background1"/>
              <w:right w:val="single" w:sz="4" w:space="0" w:color="auto"/>
            </w:tcBorders>
            <w:noWrap/>
            <w:vAlign w:val="bottom"/>
            <w:hideMark/>
          </w:tcPr>
          <w:p w14:paraId="4999EB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4.957,7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0E50DB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E4CF5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2.561,4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982B4D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871,7</w:t>
            </w:r>
          </w:p>
        </w:tc>
        <w:tc>
          <w:tcPr>
            <w:tcW w:w="673" w:type="dxa"/>
            <w:tcBorders>
              <w:top w:val="nil"/>
              <w:left w:val="nil"/>
              <w:bottom w:val="single" w:sz="4" w:space="0" w:color="FFFFFF" w:themeColor="background1"/>
              <w:right w:val="nil"/>
            </w:tcBorders>
            <w:noWrap/>
            <w:vAlign w:val="bottom"/>
            <w:hideMark/>
          </w:tcPr>
          <w:p w14:paraId="3660D46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-66,0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BC253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24.273,8</w:t>
            </w:r>
          </w:p>
        </w:tc>
      </w:tr>
      <w:tr w:rsidR="005323F9" w14:paraId="2AAF2759" w14:textId="77777777" w:rsidTr="005323F9">
        <w:tc>
          <w:tcPr>
            <w:tcW w:w="1303" w:type="dxa"/>
            <w:tcBorders>
              <w:top w:val="nil"/>
              <w:left w:val="single" w:sz="4" w:space="0" w:color="auto"/>
              <w:bottom w:val="single" w:sz="4" w:space="0" w:color="FFFFFF" w:themeColor="background1"/>
              <w:right w:val="nil"/>
            </w:tcBorders>
            <w:vAlign w:val="bottom"/>
            <w:hideMark/>
          </w:tcPr>
          <w:p w14:paraId="0F91A90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Slowakei</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20DD39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477A6F1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20.506,2</w:t>
            </w:r>
          </w:p>
        </w:tc>
        <w:tc>
          <w:tcPr>
            <w:tcW w:w="990" w:type="dxa"/>
            <w:tcBorders>
              <w:top w:val="nil"/>
              <w:left w:val="nil"/>
              <w:bottom w:val="single" w:sz="4" w:space="0" w:color="FFFFFF" w:themeColor="background1"/>
              <w:right w:val="single" w:sz="4" w:space="0" w:color="FFFFFF" w:themeColor="background1"/>
            </w:tcBorders>
            <w:vAlign w:val="bottom"/>
            <w:hideMark/>
          </w:tcPr>
          <w:p w14:paraId="3F03AFA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1.345,6</w:t>
            </w:r>
          </w:p>
        </w:tc>
        <w:tc>
          <w:tcPr>
            <w:tcW w:w="673" w:type="dxa"/>
            <w:tcBorders>
              <w:top w:val="nil"/>
              <w:left w:val="nil"/>
              <w:bottom w:val="single" w:sz="4" w:space="0" w:color="FFFFFF" w:themeColor="background1"/>
              <w:right w:val="single" w:sz="4" w:space="0" w:color="auto"/>
            </w:tcBorders>
            <w:noWrap/>
            <w:vAlign w:val="bottom"/>
            <w:hideMark/>
          </w:tcPr>
          <w:p w14:paraId="0B76504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-93,4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4F310A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BD3CF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1.052,5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7C5CD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860,9</w:t>
            </w:r>
          </w:p>
        </w:tc>
        <w:tc>
          <w:tcPr>
            <w:tcW w:w="673" w:type="dxa"/>
            <w:tcBorders>
              <w:top w:val="nil"/>
              <w:left w:val="nil"/>
              <w:bottom w:val="single" w:sz="4" w:space="0" w:color="FFFFFF" w:themeColor="background1"/>
              <w:right w:val="nil"/>
            </w:tcBorders>
            <w:noWrap/>
            <w:vAlign w:val="bottom"/>
            <w:hideMark/>
          </w:tcPr>
          <w:p w14:paraId="5A76826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F7586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64,0</w:t>
            </w:r>
          </w:p>
        </w:tc>
      </w:tr>
      <w:tr w:rsidR="005323F9" w14:paraId="1D476594" w14:textId="77777777" w:rsidTr="005323F9">
        <w:tc>
          <w:tcPr>
            <w:tcW w:w="1303" w:type="dxa"/>
            <w:tcBorders>
              <w:top w:val="nil"/>
              <w:left w:val="single" w:sz="4" w:space="0" w:color="auto"/>
              <w:bottom w:val="single" w:sz="4" w:space="0" w:color="FFFFFF" w:themeColor="background1"/>
              <w:right w:val="nil"/>
            </w:tcBorders>
            <w:vAlign w:val="bottom"/>
            <w:hideMark/>
          </w:tcPr>
          <w:p w14:paraId="1C854B3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Finnland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0A3343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0,3</w:t>
            </w:r>
          </w:p>
        </w:tc>
        <w:tc>
          <w:tcPr>
            <w:tcW w:w="990" w:type="dxa"/>
            <w:tcBorders>
              <w:top w:val="nil"/>
              <w:left w:val="nil"/>
              <w:bottom w:val="single" w:sz="4" w:space="0" w:color="FFFFFF" w:themeColor="background1"/>
              <w:right w:val="single" w:sz="4" w:space="0" w:color="FFFFFF" w:themeColor="background1"/>
            </w:tcBorders>
            <w:vAlign w:val="bottom"/>
            <w:hideMark/>
          </w:tcPr>
          <w:p w14:paraId="501683B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5.386,7</w:t>
            </w:r>
          </w:p>
        </w:tc>
        <w:tc>
          <w:tcPr>
            <w:tcW w:w="990" w:type="dxa"/>
            <w:tcBorders>
              <w:top w:val="nil"/>
              <w:left w:val="nil"/>
              <w:bottom w:val="single" w:sz="4" w:space="0" w:color="FFFFFF" w:themeColor="background1"/>
              <w:right w:val="single" w:sz="4" w:space="0" w:color="FFFFFF" w:themeColor="background1"/>
            </w:tcBorders>
            <w:vAlign w:val="bottom"/>
            <w:hideMark/>
          </w:tcPr>
          <w:p w14:paraId="0AC7A84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4.454,9</w:t>
            </w:r>
          </w:p>
        </w:tc>
        <w:tc>
          <w:tcPr>
            <w:tcW w:w="673" w:type="dxa"/>
            <w:tcBorders>
              <w:top w:val="nil"/>
              <w:left w:val="nil"/>
              <w:bottom w:val="single" w:sz="4" w:space="0" w:color="FFFFFF" w:themeColor="background1"/>
              <w:right w:val="single" w:sz="4" w:space="0" w:color="auto"/>
            </w:tcBorders>
            <w:noWrap/>
            <w:vAlign w:val="bottom"/>
            <w:hideMark/>
          </w:tcPr>
          <w:p w14:paraId="288F400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A9801A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484CEA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1.003,3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5F85B6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771,1</w:t>
            </w:r>
          </w:p>
        </w:tc>
        <w:tc>
          <w:tcPr>
            <w:tcW w:w="673" w:type="dxa"/>
            <w:tcBorders>
              <w:top w:val="nil"/>
              <w:left w:val="nil"/>
              <w:bottom w:val="single" w:sz="4" w:space="0" w:color="FFFFFF" w:themeColor="background1"/>
              <w:right w:val="nil"/>
            </w:tcBorders>
            <w:noWrap/>
            <w:vAlign w:val="bottom"/>
            <w:hideMark/>
          </w:tcPr>
          <w:p w14:paraId="23D7082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B60D7E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17,3</w:t>
            </w:r>
          </w:p>
        </w:tc>
      </w:tr>
      <w:tr w:rsidR="005323F9" w14:paraId="1BEF5126" w14:textId="77777777" w:rsidTr="005323F9">
        <w:tc>
          <w:tcPr>
            <w:tcW w:w="1303" w:type="dxa"/>
            <w:tcBorders>
              <w:top w:val="nil"/>
              <w:left w:val="single" w:sz="4" w:space="0" w:color="auto"/>
              <w:bottom w:val="single" w:sz="4" w:space="0" w:color="FFFFFF" w:themeColor="background1"/>
              <w:right w:val="nil"/>
            </w:tcBorders>
            <w:vAlign w:val="bottom"/>
            <w:hideMark/>
          </w:tcPr>
          <w:p w14:paraId="57109C2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Malta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34295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C5FBF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2033E19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w:t>
            </w:r>
          </w:p>
        </w:tc>
        <w:tc>
          <w:tcPr>
            <w:tcW w:w="673" w:type="dxa"/>
            <w:tcBorders>
              <w:top w:val="nil"/>
              <w:left w:val="nil"/>
              <w:bottom w:val="single" w:sz="4" w:space="0" w:color="FFFFFF" w:themeColor="background1"/>
              <w:right w:val="single" w:sz="4" w:space="0" w:color="auto"/>
            </w:tcBorders>
            <w:noWrap/>
            <w:vAlign w:val="bottom"/>
            <w:hideMark/>
          </w:tcPr>
          <w:p w14:paraId="0161B20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1.433,3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BF760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C2CC4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323,1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C8283D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525,6</w:t>
            </w:r>
          </w:p>
        </w:tc>
        <w:tc>
          <w:tcPr>
            <w:tcW w:w="673" w:type="dxa"/>
            <w:tcBorders>
              <w:top w:val="nil"/>
              <w:left w:val="nil"/>
              <w:bottom w:val="single" w:sz="4" w:space="0" w:color="FFFFFF" w:themeColor="background1"/>
              <w:right w:val="nil"/>
            </w:tcBorders>
            <w:noWrap/>
            <w:vAlign w:val="bottom"/>
            <w:hideMark/>
          </w:tcPr>
          <w:p w14:paraId="1608C6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62,7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9C3E9D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26.572,4</w:t>
            </w:r>
          </w:p>
        </w:tc>
      </w:tr>
      <w:tr w:rsidR="005323F9" w14:paraId="70DCBB27" w14:textId="77777777" w:rsidTr="005323F9">
        <w:tc>
          <w:tcPr>
            <w:tcW w:w="1303" w:type="dxa"/>
            <w:tcBorders>
              <w:top w:val="nil"/>
              <w:left w:val="single" w:sz="4" w:space="0" w:color="auto"/>
              <w:bottom w:val="single" w:sz="4" w:space="0" w:color="FFFFFF" w:themeColor="background1"/>
              <w:right w:val="nil"/>
            </w:tcBorders>
            <w:vAlign w:val="bottom"/>
            <w:hideMark/>
          </w:tcPr>
          <w:p w14:paraId="4708E96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Slowenien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BF01DD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5B69FA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3.053,3</w:t>
            </w:r>
          </w:p>
        </w:tc>
        <w:tc>
          <w:tcPr>
            <w:tcW w:w="990" w:type="dxa"/>
            <w:tcBorders>
              <w:top w:val="nil"/>
              <w:left w:val="nil"/>
              <w:bottom w:val="single" w:sz="4" w:space="0" w:color="FFFFFF" w:themeColor="background1"/>
              <w:right w:val="single" w:sz="4" w:space="0" w:color="FFFFFF" w:themeColor="background1"/>
            </w:tcBorders>
            <w:vAlign w:val="bottom"/>
            <w:hideMark/>
          </w:tcPr>
          <w:p w14:paraId="4A1665A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505,7</w:t>
            </w:r>
          </w:p>
        </w:tc>
        <w:tc>
          <w:tcPr>
            <w:tcW w:w="673" w:type="dxa"/>
            <w:tcBorders>
              <w:top w:val="nil"/>
              <w:left w:val="nil"/>
              <w:bottom w:val="single" w:sz="4" w:space="0" w:color="FFFFFF" w:themeColor="background1"/>
              <w:right w:val="single" w:sz="4" w:space="0" w:color="auto"/>
            </w:tcBorders>
            <w:noWrap/>
            <w:vAlign w:val="bottom"/>
            <w:hideMark/>
          </w:tcPr>
          <w:p w14:paraId="5846E87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-83,4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35243C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5FE01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277,3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C795E8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501,8</w:t>
            </w:r>
          </w:p>
        </w:tc>
        <w:tc>
          <w:tcPr>
            <w:tcW w:w="673" w:type="dxa"/>
            <w:tcBorders>
              <w:top w:val="nil"/>
              <w:left w:val="nil"/>
              <w:bottom w:val="single" w:sz="4" w:space="0" w:color="FFFFFF" w:themeColor="background1"/>
              <w:right w:val="nil"/>
            </w:tcBorders>
            <w:noWrap/>
            <w:vAlign w:val="bottom"/>
            <w:hideMark/>
          </w:tcPr>
          <w:p w14:paraId="472D23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80,9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9B0709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99,2</w:t>
            </w:r>
          </w:p>
        </w:tc>
      </w:tr>
      <w:tr w:rsidR="005323F9" w14:paraId="0F42CFDE" w14:textId="77777777" w:rsidTr="005323F9">
        <w:tc>
          <w:tcPr>
            <w:tcW w:w="1303" w:type="dxa"/>
            <w:tcBorders>
              <w:top w:val="nil"/>
              <w:left w:val="single" w:sz="4" w:space="0" w:color="auto"/>
              <w:bottom w:val="single" w:sz="4" w:space="0" w:color="FFFFFF" w:themeColor="background1"/>
              <w:right w:val="nil"/>
            </w:tcBorders>
            <w:vAlign w:val="bottom"/>
            <w:hideMark/>
          </w:tcPr>
          <w:p w14:paraId="5F04C6F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Kroatien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552F9F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B4CE7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598,6</w:t>
            </w:r>
          </w:p>
        </w:tc>
        <w:tc>
          <w:tcPr>
            <w:tcW w:w="990" w:type="dxa"/>
            <w:tcBorders>
              <w:top w:val="nil"/>
              <w:left w:val="nil"/>
              <w:bottom w:val="single" w:sz="4" w:space="0" w:color="FFFFFF" w:themeColor="background1"/>
              <w:right w:val="single" w:sz="4" w:space="0" w:color="FFFFFF" w:themeColor="background1"/>
            </w:tcBorders>
            <w:vAlign w:val="bottom"/>
            <w:hideMark/>
          </w:tcPr>
          <w:p w14:paraId="00639B3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714,3</w:t>
            </w:r>
          </w:p>
        </w:tc>
        <w:tc>
          <w:tcPr>
            <w:tcW w:w="673" w:type="dxa"/>
            <w:tcBorders>
              <w:top w:val="nil"/>
              <w:left w:val="nil"/>
              <w:bottom w:val="single" w:sz="4" w:space="0" w:color="FFFFFF" w:themeColor="background1"/>
              <w:right w:val="single" w:sz="4" w:space="0" w:color="auto"/>
            </w:tcBorders>
            <w:noWrap/>
            <w:vAlign w:val="bottom"/>
            <w:hideMark/>
          </w:tcPr>
          <w:p w14:paraId="0846B7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C098C0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54DEDD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306,6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9A9D44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414,4</w:t>
            </w:r>
          </w:p>
        </w:tc>
        <w:tc>
          <w:tcPr>
            <w:tcW w:w="673" w:type="dxa"/>
            <w:tcBorders>
              <w:top w:val="nil"/>
              <w:left w:val="nil"/>
              <w:bottom w:val="single" w:sz="4" w:space="0" w:color="FFFFFF" w:themeColor="background1"/>
              <w:right w:val="nil"/>
            </w:tcBorders>
            <w:noWrap/>
            <w:vAlign w:val="bottom"/>
            <w:hideMark/>
          </w:tcPr>
          <w:p w14:paraId="5341FD2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35,1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59990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58,0</w:t>
            </w:r>
          </w:p>
        </w:tc>
      </w:tr>
      <w:tr w:rsidR="005323F9" w14:paraId="14D3120D" w14:textId="77777777" w:rsidTr="005323F9">
        <w:tc>
          <w:tcPr>
            <w:tcW w:w="1303" w:type="dxa"/>
            <w:tcBorders>
              <w:top w:val="nil"/>
              <w:left w:val="single" w:sz="4" w:space="0" w:color="auto"/>
              <w:bottom w:val="single" w:sz="4" w:space="0" w:color="FFFFFF" w:themeColor="background1"/>
              <w:right w:val="nil"/>
            </w:tcBorders>
            <w:vAlign w:val="bottom"/>
            <w:hideMark/>
          </w:tcPr>
          <w:p w14:paraId="112D39F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Bulgarien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F1562B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4277EF5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1.229,6</w:t>
            </w:r>
          </w:p>
        </w:tc>
        <w:tc>
          <w:tcPr>
            <w:tcW w:w="990" w:type="dxa"/>
            <w:tcBorders>
              <w:top w:val="nil"/>
              <w:left w:val="nil"/>
              <w:bottom w:val="single" w:sz="4" w:space="0" w:color="FFFFFF" w:themeColor="background1"/>
              <w:right w:val="single" w:sz="4" w:space="0" w:color="FFFFFF" w:themeColor="background1"/>
            </w:tcBorders>
            <w:vAlign w:val="bottom"/>
            <w:hideMark/>
          </w:tcPr>
          <w:p w14:paraId="0E261B6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2.446,5</w:t>
            </w:r>
          </w:p>
        </w:tc>
        <w:tc>
          <w:tcPr>
            <w:tcW w:w="673" w:type="dxa"/>
            <w:tcBorders>
              <w:top w:val="nil"/>
              <w:left w:val="nil"/>
              <w:bottom w:val="single" w:sz="4" w:space="0" w:color="FFFFFF" w:themeColor="background1"/>
              <w:right w:val="single" w:sz="4" w:space="0" w:color="auto"/>
            </w:tcBorders>
            <w:noWrap/>
            <w:vAlign w:val="bottom"/>
            <w:hideMark/>
          </w:tcPr>
          <w:p w14:paraId="66F4F6E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EB0211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5F2DCF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515,5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11355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405,9</w:t>
            </w:r>
          </w:p>
        </w:tc>
        <w:tc>
          <w:tcPr>
            <w:tcW w:w="673" w:type="dxa"/>
            <w:tcBorders>
              <w:top w:val="nil"/>
              <w:left w:val="nil"/>
              <w:bottom w:val="single" w:sz="4" w:space="0" w:color="FFFFFF" w:themeColor="background1"/>
              <w:right w:val="nil"/>
            </w:tcBorders>
            <w:noWrap/>
            <w:vAlign w:val="bottom"/>
            <w:hideMark/>
          </w:tcPr>
          <w:p w14:paraId="0DCF9F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-21,3</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127898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16,6</w:t>
            </w:r>
          </w:p>
        </w:tc>
      </w:tr>
      <w:tr w:rsidR="005323F9" w14:paraId="69856DD5" w14:textId="77777777" w:rsidTr="005323F9">
        <w:tc>
          <w:tcPr>
            <w:tcW w:w="1303" w:type="dxa"/>
            <w:tcBorders>
              <w:top w:val="nil"/>
              <w:left w:val="single" w:sz="4" w:space="0" w:color="auto"/>
              <w:bottom w:val="single" w:sz="4" w:space="0" w:color="FFFFFF" w:themeColor="background1"/>
              <w:right w:val="nil"/>
            </w:tcBorders>
            <w:vAlign w:val="bottom"/>
            <w:hideMark/>
          </w:tcPr>
          <w:p w14:paraId="00683DB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Lettland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A134EE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1C780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61,3</w:t>
            </w:r>
          </w:p>
        </w:tc>
        <w:tc>
          <w:tcPr>
            <w:tcW w:w="990" w:type="dxa"/>
            <w:tcBorders>
              <w:top w:val="nil"/>
              <w:left w:val="nil"/>
              <w:bottom w:val="single" w:sz="4" w:space="0" w:color="FFFFFF" w:themeColor="background1"/>
              <w:right w:val="single" w:sz="4" w:space="0" w:color="FFFFFF" w:themeColor="background1"/>
            </w:tcBorders>
            <w:vAlign w:val="bottom"/>
            <w:hideMark/>
          </w:tcPr>
          <w:p w14:paraId="2D8F777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107,3</w:t>
            </w:r>
          </w:p>
        </w:tc>
        <w:tc>
          <w:tcPr>
            <w:tcW w:w="673" w:type="dxa"/>
            <w:tcBorders>
              <w:top w:val="nil"/>
              <w:left w:val="nil"/>
              <w:bottom w:val="single" w:sz="4" w:space="0" w:color="FFFFFF" w:themeColor="background1"/>
              <w:right w:val="single" w:sz="4" w:space="0" w:color="auto"/>
            </w:tcBorders>
            <w:noWrap/>
            <w:vAlign w:val="bottom"/>
            <w:hideMark/>
          </w:tcPr>
          <w:p w14:paraId="73E782E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74,9</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3967E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F7B70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D88BB5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201,7</w:t>
            </w:r>
          </w:p>
        </w:tc>
        <w:tc>
          <w:tcPr>
            <w:tcW w:w="673" w:type="dxa"/>
            <w:tcBorders>
              <w:top w:val="nil"/>
              <w:left w:val="nil"/>
              <w:bottom w:val="single" w:sz="4" w:space="0" w:color="FFFFFF" w:themeColor="background1"/>
              <w:right w:val="nil"/>
            </w:tcBorders>
            <w:noWrap/>
            <w:vAlign w:val="bottom"/>
            <w:hideMark/>
          </w:tcPr>
          <w:p w14:paraId="5187B1E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DC1A93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188,0</w:t>
            </w:r>
          </w:p>
        </w:tc>
      </w:tr>
      <w:tr w:rsidR="005323F9" w14:paraId="743E177D" w14:textId="77777777" w:rsidTr="005323F9">
        <w:tc>
          <w:tcPr>
            <w:tcW w:w="1303" w:type="dxa"/>
            <w:tcBorders>
              <w:top w:val="single" w:sz="4" w:space="0" w:color="auto"/>
              <w:left w:val="single" w:sz="4" w:space="0" w:color="auto"/>
              <w:bottom w:val="single" w:sz="4" w:space="0" w:color="auto"/>
              <w:right w:val="nil"/>
            </w:tcBorders>
            <w:vAlign w:val="bottom"/>
            <w:hideMark/>
          </w:tcPr>
          <w:p w14:paraId="3ED36FD4" w14:textId="77777777" w:rsidR="005323F9" w:rsidRDefault="005323F9">
            <w:pPr>
              <w:rPr>
                <w:rFonts w:cstheme="minorHAnsi"/>
                <w:b/>
                <w:bCs/>
                <w:color w:val="000000"/>
                <w:sz w:val="16"/>
                <w:szCs w:val="16"/>
                <w:lang w:val="de-DE" w:eastAsia="nl-BE"/>
              </w:rPr>
            </w:pPr>
            <w:r>
              <w:rPr>
                <w:rFonts w:ascii="Calibri" w:hAnsi="Calibri" w:cstheme="minorHAnsi"/>
                <w:b/>
                <w:bCs/>
                <w:color w:val="000000"/>
                <w:sz w:val="16"/>
                <w:szCs w:val="16"/>
                <w:lang w:val="de-DE" w:eastAsia="nl-BE"/>
              </w:rPr>
              <w:t>Europäische Union</w:t>
            </w:r>
          </w:p>
        </w:tc>
        <w:tc>
          <w:tcPr>
            <w:tcW w:w="904" w:type="dxa"/>
            <w:tcBorders>
              <w:top w:val="single" w:sz="4" w:space="0" w:color="auto"/>
              <w:left w:val="single" w:sz="4" w:space="0" w:color="auto"/>
              <w:bottom w:val="single" w:sz="4" w:space="0" w:color="auto"/>
              <w:right w:val="single" w:sz="4" w:space="0" w:color="FFFFFF" w:themeColor="background1"/>
            </w:tcBorders>
            <w:vAlign w:val="bottom"/>
            <w:hideMark/>
          </w:tcPr>
          <w:p w14:paraId="5075DDA0"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53,1</w:t>
            </w:r>
          </w:p>
        </w:tc>
        <w:tc>
          <w:tcPr>
            <w:tcW w:w="990" w:type="dxa"/>
            <w:tcBorders>
              <w:top w:val="single" w:sz="4" w:space="0" w:color="auto"/>
              <w:left w:val="nil"/>
              <w:bottom w:val="single" w:sz="4" w:space="0" w:color="auto"/>
              <w:right w:val="single" w:sz="4" w:space="0" w:color="FFFFFF" w:themeColor="background1"/>
            </w:tcBorders>
            <w:vAlign w:val="bottom"/>
            <w:hideMark/>
          </w:tcPr>
          <w:p w14:paraId="54C41326"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957.657,9</w:t>
            </w:r>
          </w:p>
        </w:tc>
        <w:tc>
          <w:tcPr>
            <w:tcW w:w="990" w:type="dxa"/>
            <w:tcBorders>
              <w:top w:val="single" w:sz="4" w:space="0" w:color="auto"/>
              <w:left w:val="nil"/>
              <w:bottom w:val="single" w:sz="4" w:space="0" w:color="auto"/>
              <w:right w:val="single" w:sz="4" w:space="0" w:color="FFFFFF" w:themeColor="background1"/>
            </w:tcBorders>
            <w:vAlign w:val="bottom"/>
            <w:hideMark/>
          </w:tcPr>
          <w:p w14:paraId="011F7259"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780.129,2</w:t>
            </w:r>
          </w:p>
        </w:tc>
        <w:tc>
          <w:tcPr>
            <w:tcW w:w="673" w:type="dxa"/>
            <w:tcBorders>
              <w:top w:val="single" w:sz="4" w:space="0" w:color="auto"/>
              <w:left w:val="nil"/>
              <w:bottom w:val="single" w:sz="4" w:space="0" w:color="auto"/>
              <w:right w:val="single" w:sz="4" w:space="0" w:color="auto"/>
            </w:tcBorders>
            <w:noWrap/>
            <w:vAlign w:val="bottom"/>
            <w:hideMark/>
          </w:tcPr>
          <w:p w14:paraId="2E727622"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-18,5</w:t>
            </w:r>
          </w:p>
        </w:tc>
        <w:tc>
          <w:tcPr>
            <w:tcW w:w="829" w:type="dxa"/>
            <w:tcBorders>
              <w:top w:val="single" w:sz="4" w:space="0" w:color="auto"/>
              <w:left w:val="nil"/>
              <w:bottom w:val="single" w:sz="4" w:space="0" w:color="auto"/>
              <w:right w:val="single" w:sz="4" w:space="0" w:color="FFFFFF" w:themeColor="background1"/>
            </w:tcBorders>
            <w:noWrap/>
            <w:vAlign w:val="bottom"/>
            <w:hideMark/>
          </w:tcPr>
          <w:p w14:paraId="782AB9DC"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90,2</w:t>
            </w:r>
          </w:p>
        </w:tc>
        <w:tc>
          <w:tcPr>
            <w:tcW w:w="854" w:type="dxa"/>
            <w:tcBorders>
              <w:top w:val="single" w:sz="4" w:space="0" w:color="auto"/>
              <w:left w:val="nil"/>
              <w:bottom w:val="single" w:sz="4" w:space="0" w:color="auto"/>
              <w:right w:val="single" w:sz="4" w:space="0" w:color="FFFFFF" w:themeColor="background1"/>
            </w:tcBorders>
            <w:noWrap/>
            <w:vAlign w:val="bottom"/>
            <w:hideMark/>
          </w:tcPr>
          <w:p w14:paraId="1A292B84"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770.387,7</w:t>
            </w:r>
          </w:p>
        </w:tc>
        <w:tc>
          <w:tcPr>
            <w:tcW w:w="854" w:type="dxa"/>
            <w:tcBorders>
              <w:top w:val="single" w:sz="4" w:space="0" w:color="auto"/>
              <w:left w:val="nil"/>
              <w:bottom w:val="single" w:sz="4" w:space="0" w:color="auto"/>
              <w:right w:val="single" w:sz="4" w:space="0" w:color="FFFFFF" w:themeColor="background1"/>
            </w:tcBorders>
            <w:noWrap/>
            <w:vAlign w:val="bottom"/>
            <w:hideMark/>
          </w:tcPr>
          <w:p w14:paraId="3877291E"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784.202,6</w:t>
            </w:r>
          </w:p>
        </w:tc>
        <w:tc>
          <w:tcPr>
            <w:tcW w:w="673" w:type="dxa"/>
            <w:tcBorders>
              <w:top w:val="single" w:sz="4" w:space="0" w:color="auto"/>
              <w:left w:val="nil"/>
              <w:bottom w:val="single" w:sz="4" w:space="0" w:color="auto"/>
              <w:right w:val="nil"/>
            </w:tcBorders>
            <w:noWrap/>
            <w:vAlign w:val="bottom"/>
            <w:hideMark/>
          </w:tcPr>
          <w:p w14:paraId="4E712649"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1,8</w:t>
            </w:r>
          </w:p>
        </w:tc>
        <w:tc>
          <w:tcPr>
            <w:tcW w:w="1102" w:type="dxa"/>
            <w:tcBorders>
              <w:top w:val="single" w:sz="4" w:space="0" w:color="auto"/>
              <w:left w:val="single" w:sz="4" w:space="0" w:color="auto"/>
              <w:bottom w:val="single" w:sz="4" w:space="0" w:color="auto"/>
              <w:right w:val="single" w:sz="4" w:space="0" w:color="auto"/>
            </w:tcBorders>
            <w:noWrap/>
            <w:vAlign w:val="bottom"/>
            <w:hideMark/>
          </w:tcPr>
          <w:p w14:paraId="65D695CF"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100,5</w:t>
            </w:r>
          </w:p>
        </w:tc>
      </w:tr>
      <w:tr w:rsidR="005323F9" w14:paraId="5F134B3C" w14:textId="77777777" w:rsidTr="005323F9">
        <w:tc>
          <w:tcPr>
            <w:tcW w:w="1303" w:type="dxa"/>
            <w:tcBorders>
              <w:top w:val="single" w:sz="4" w:space="0" w:color="FFFFFF" w:themeColor="background1"/>
              <w:left w:val="single" w:sz="4" w:space="0" w:color="auto"/>
              <w:bottom w:val="single" w:sz="4" w:space="0" w:color="FFFFFF" w:themeColor="background1"/>
              <w:right w:val="nil"/>
            </w:tcBorders>
            <w:vAlign w:val="bottom"/>
            <w:hideMark/>
          </w:tcPr>
          <w:p w14:paraId="0D1808D4"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Vereinigtes Königreich</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E176E9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0,7</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vAlign w:val="bottom"/>
            <w:hideMark/>
          </w:tcPr>
          <w:p w14:paraId="13F9FB2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14.760,1</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vAlign w:val="bottom"/>
            <w:hideMark/>
          </w:tcPr>
          <w:p w14:paraId="7824196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10.607,2</w:t>
            </w:r>
          </w:p>
        </w:tc>
        <w:tc>
          <w:tcPr>
            <w:tcW w:w="673" w:type="dxa"/>
            <w:tcBorders>
              <w:top w:val="nil"/>
              <w:left w:val="nil"/>
              <w:bottom w:val="single" w:sz="4" w:space="0" w:color="FFFFFF" w:themeColor="background1"/>
              <w:right w:val="single" w:sz="4" w:space="0" w:color="auto"/>
            </w:tcBorders>
            <w:noWrap/>
            <w:vAlign w:val="bottom"/>
            <w:hideMark/>
          </w:tcPr>
          <w:p w14:paraId="1BEF33E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2A7C4D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noWrap/>
            <w:vAlign w:val="bottom"/>
            <w:hideMark/>
          </w:tcPr>
          <w:p w14:paraId="3938543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25.730,1</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noWrap/>
            <w:vAlign w:val="bottom"/>
            <w:hideMark/>
          </w:tcPr>
          <w:p w14:paraId="4103741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23.214,0</w:t>
            </w:r>
          </w:p>
        </w:tc>
        <w:tc>
          <w:tcPr>
            <w:tcW w:w="673" w:type="dxa"/>
            <w:tcBorders>
              <w:top w:val="nil"/>
              <w:left w:val="nil"/>
              <w:bottom w:val="single" w:sz="4" w:space="0" w:color="FFFFFF" w:themeColor="background1"/>
              <w:right w:val="nil"/>
            </w:tcBorders>
            <w:noWrap/>
            <w:vAlign w:val="bottom"/>
            <w:hideMark/>
          </w:tcPr>
          <w:p w14:paraId="3C8A1D8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199AB4B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218,9</w:t>
            </w:r>
          </w:p>
        </w:tc>
      </w:tr>
      <w:tr w:rsidR="005323F9" w14:paraId="1AC1B45F" w14:textId="77777777" w:rsidTr="005323F9">
        <w:tc>
          <w:tcPr>
            <w:tcW w:w="1303" w:type="dxa"/>
            <w:tcBorders>
              <w:top w:val="nil"/>
              <w:left w:val="single" w:sz="4" w:space="0" w:color="auto"/>
              <w:bottom w:val="single" w:sz="4" w:space="0" w:color="FFFFFF" w:themeColor="background1"/>
              <w:right w:val="nil"/>
            </w:tcBorders>
            <w:vAlign w:val="bottom"/>
            <w:hideMark/>
          </w:tcPr>
          <w:p w14:paraId="023A2194"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USA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B26EA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6EEC0DE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3.442,6</w:t>
            </w:r>
          </w:p>
        </w:tc>
        <w:tc>
          <w:tcPr>
            <w:tcW w:w="990" w:type="dxa"/>
            <w:tcBorders>
              <w:top w:val="nil"/>
              <w:left w:val="nil"/>
              <w:bottom w:val="single" w:sz="4" w:space="0" w:color="FFFFFF" w:themeColor="background1"/>
              <w:right w:val="single" w:sz="4" w:space="0" w:color="FFFFFF" w:themeColor="background1"/>
            </w:tcBorders>
            <w:vAlign w:val="bottom"/>
            <w:hideMark/>
          </w:tcPr>
          <w:p w14:paraId="70DDD96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2.987,6</w:t>
            </w:r>
          </w:p>
        </w:tc>
        <w:tc>
          <w:tcPr>
            <w:tcW w:w="673" w:type="dxa"/>
            <w:tcBorders>
              <w:top w:val="nil"/>
              <w:left w:val="nil"/>
              <w:bottom w:val="single" w:sz="4" w:space="0" w:color="FFFFFF" w:themeColor="background1"/>
              <w:right w:val="single" w:sz="4" w:space="0" w:color="auto"/>
            </w:tcBorders>
            <w:noWrap/>
            <w:vAlign w:val="bottom"/>
            <w:hideMark/>
          </w:tcPr>
          <w:p w14:paraId="09E94F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688C17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771CAF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15.892,7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3853BE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17.660,9</w:t>
            </w:r>
          </w:p>
        </w:tc>
        <w:tc>
          <w:tcPr>
            <w:tcW w:w="673" w:type="dxa"/>
            <w:tcBorders>
              <w:top w:val="nil"/>
              <w:left w:val="nil"/>
              <w:bottom w:val="single" w:sz="4" w:space="0" w:color="FFFFFF" w:themeColor="background1"/>
              <w:right w:val="nil"/>
            </w:tcBorders>
            <w:noWrap/>
            <w:vAlign w:val="bottom"/>
            <w:hideMark/>
          </w:tcPr>
          <w:p w14:paraId="6958E2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11E8604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591,1</w:t>
            </w:r>
          </w:p>
        </w:tc>
      </w:tr>
      <w:tr w:rsidR="005323F9" w14:paraId="5428D1ED" w14:textId="77777777" w:rsidTr="005323F9">
        <w:tc>
          <w:tcPr>
            <w:tcW w:w="1303" w:type="dxa"/>
            <w:tcBorders>
              <w:top w:val="nil"/>
              <w:left w:val="single" w:sz="4" w:space="0" w:color="auto"/>
              <w:bottom w:val="single" w:sz="4" w:space="0" w:color="FFFFFF" w:themeColor="background1"/>
              <w:right w:val="nil"/>
            </w:tcBorders>
            <w:vAlign w:val="bottom"/>
            <w:hideMark/>
          </w:tcPr>
          <w:p w14:paraId="143165AC"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Schweiz</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616441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5F3DE5B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1.525,3</w:t>
            </w:r>
          </w:p>
        </w:tc>
        <w:tc>
          <w:tcPr>
            <w:tcW w:w="990" w:type="dxa"/>
            <w:tcBorders>
              <w:top w:val="nil"/>
              <w:left w:val="nil"/>
              <w:bottom w:val="single" w:sz="4" w:space="0" w:color="FFFFFF" w:themeColor="background1"/>
              <w:right w:val="single" w:sz="4" w:space="0" w:color="FFFFFF" w:themeColor="background1"/>
            </w:tcBorders>
            <w:vAlign w:val="bottom"/>
            <w:hideMark/>
          </w:tcPr>
          <w:p w14:paraId="64A277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1.299,5</w:t>
            </w:r>
          </w:p>
        </w:tc>
        <w:tc>
          <w:tcPr>
            <w:tcW w:w="673" w:type="dxa"/>
            <w:tcBorders>
              <w:top w:val="nil"/>
              <w:left w:val="nil"/>
              <w:bottom w:val="single" w:sz="4" w:space="0" w:color="FFFFFF" w:themeColor="background1"/>
              <w:right w:val="single" w:sz="4" w:space="0" w:color="auto"/>
            </w:tcBorders>
            <w:noWrap/>
            <w:vAlign w:val="bottom"/>
            <w:hideMark/>
          </w:tcPr>
          <w:p w14:paraId="47CB36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-14,8</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9F0302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E73F06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12.390,3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0DA8E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10.525,9</w:t>
            </w:r>
          </w:p>
        </w:tc>
        <w:tc>
          <w:tcPr>
            <w:tcW w:w="673" w:type="dxa"/>
            <w:tcBorders>
              <w:top w:val="nil"/>
              <w:left w:val="nil"/>
              <w:bottom w:val="single" w:sz="4" w:space="0" w:color="FFFFFF" w:themeColor="background1"/>
              <w:right w:val="nil"/>
            </w:tcBorders>
            <w:noWrap/>
            <w:vAlign w:val="bottom"/>
            <w:hideMark/>
          </w:tcPr>
          <w:p w14:paraId="0B86E6D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1520F7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810,0</w:t>
            </w:r>
          </w:p>
        </w:tc>
      </w:tr>
      <w:tr w:rsidR="005323F9" w14:paraId="5AFB0A2B" w14:textId="77777777" w:rsidTr="005323F9">
        <w:tc>
          <w:tcPr>
            <w:tcW w:w="1303" w:type="dxa"/>
            <w:tcBorders>
              <w:top w:val="nil"/>
              <w:left w:val="single" w:sz="4" w:space="0" w:color="auto"/>
              <w:bottom w:val="single" w:sz="4" w:space="0" w:color="FFFFFF" w:themeColor="background1"/>
              <w:right w:val="nil"/>
            </w:tcBorders>
            <w:vAlign w:val="bottom"/>
            <w:hideMark/>
          </w:tcPr>
          <w:p w14:paraId="3D0A4EA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Australien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F7964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7F0D41D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68,4</w:t>
            </w:r>
          </w:p>
        </w:tc>
        <w:tc>
          <w:tcPr>
            <w:tcW w:w="990" w:type="dxa"/>
            <w:tcBorders>
              <w:top w:val="nil"/>
              <w:left w:val="nil"/>
              <w:bottom w:val="single" w:sz="4" w:space="0" w:color="FFFFFF" w:themeColor="background1"/>
              <w:right w:val="single" w:sz="4" w:space="0" w:color="FFFFFF" w:themeColor="background1"/>
            </w:tcBorders>
            <w:vAlign w:val="bottom"/>
            <w:hideMark/>
          </w:tcPr>
          <w:p w14:paraId="3AA3DC6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17,4</w:t>
            </w:r>
          </w:p>
        </w:tc>
        <w:tc>
          <w:tcPr>
            <w:tcW w:w="673" w:type="dxa"/>
            <w:tcBorders>
              <w:top w:val="nil"/>
              <w:left w:val="nil"/>
              <w:bottom w:val="single" w:sz="4" w:space="0" w:color="FFFFFF" w:themeColor="background1"/>
              <w:right w:val="single" w:sz="4" w:space="0" w:color="auto"/>
            </w:tcBorders>
            <w:noWrap/>
            <w:vAlign w:val="bottom"/>
            <w:hideMark/>
          </w:tcPr>
          <w:p w14:paraId="3B4C1D3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-74,5</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20A664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401B5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2.516,9</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090C9B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3.612,0</w:t>
            </w:r>
          </w:p>
        </w:tc>
        <w:tc>
          <w:tcPr>
            <w:tcW w:w="673" w:type="dxa"/>
            <w:tcBorders>
              <w:top w:val="nil"/>
              <w:left w:val="nil"/>
              <w:bottom w:val="single" w:sz="4" w:space="0" w:color="FFFFFF" w:themeColor="background1"/>
              <w:right w:val="nil"/>
            </w:tcBorders>
            <w:noWrap/>
            <w:vAlign w:val="bottom"/>
            <w:hideMark/>
          </w:tcPr>
          <w:p w14:paraId="6D97D5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43,5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4F44B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20.718,3</w:t>
            </w:r>
          </w:p>
        </w:tc>
      </w:tr>
      <w:tr w:rsidR="005323F9" w14:paraId="45F35DA2" w14:textId="77777777" w:rsidTr="005323F9">
        <w:tc>
          <w:tcPr>
            <w:tcW w:w="1303" w:type="dxa"/>
            <w:tcBorders>
              <w:top w:val="nil"/>
              <w:left w:val="single" w:sz="4" w:space="0" w:color="auto"/>
              <w:bottom w:val="single" w:sz="4" w:space="0" w:color="FFFFFF" w:themeColor="background1"/>
              <w:right w:val="nil"/>
            </w:tcBorders>
            <w:vAlign w:val="bottom"/>
            <w:hideMark/>
          </w:tcPr>
          <w:p w14:paraId="6BC1EB0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Kanada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9639DA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DA4E02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843,1</w:t>
            </w:r>
          </w:p>
        </w:tc>
        <w:tc>
          <w:tcPr>
            <w:tcW w:w="990" w:type="dxa"/>
            <w:tcBorders>
              <w:top w:val="nil"/>
              <w:left w:val="nil"/>
              <w:bottom w:val="single" w:sz="4" w:space="0" w:color="FFFFFF" w:themeColor="background1"/>
              <w:right w:val="single" w:sz="4" w:space="0" w:color="FFFFFF" w:themeColor="background1"/>
            </w:tcBorders>
            <w:vAlign w:val="bottom"/>
            <w:hideMark/>
          </w:tcPr>
          <w:p w14:paraId="4938C82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259,0</w:t>
            </w:r>
          </w:p>
        </w:tc>
        <w:tc>
          <w:tcPr>
            <w:tcW w:w="673" w:type="dxa"/>
            <w:tcBorders>
              <w:top w:val="nil"/>
              <w:left w:val="nil"/>
              <w:bottom w:val="single" w:sz="4" w:space="0" w:color="FFFFFF" w:themeColor="background1"/>
              <w:right w:val="single" w:sz="4" w:space="0" w:color="auto"/>
            </w:tcBorders>
            <w:noWrap/>
            <w:vAlign w:val="bottom"/>
            <w:hideMark/>
          </w:tcPr>
          <w:p w14:paraId="22638E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-69,3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04BB6A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3AAC29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1.378,3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8F6FA5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2.596,5</w:t>
            </w:r>
          </w:p>
        </w:tc>
        <w:tc>
          <w:tcPr>
            <w:tcW w:w="673" w:type="dxa"/>
            <w:tcBorders>
              <w:top w:val="nil"/>
              <w:left w:val="nil"/>
              <w:bottom w:val="single" w:sz="4" w:space="0" w:color="FFFFFF" w:themeColor="background1"/>
              <w:right w:val="nil"/>
            </w:tcBorders>
            <w:noWrap/>
            <w:vAlign w:val="bottom"/>
            <w:hideMark/>
          </w:tcPr>
          <w:p w14:paraId="15EF726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1E0521E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1.002,5</w:t>
            </w:r>
          </w:p>
        </w:tc>
      </w:tr>
      <w:tr w:rsidR="005323F9" w14:paraId="5AD4F7C3" w14:textId="77777777" w:rsidTr="005323F9">
        <w:tc>
          <w:tcPr>
            <w:tcW w:w="1303" w:type="dxa"/>
            <w:tcBorders>
              <w:top w:val="nil"/>
              <w:left w:val="single" w:sz="4" w:space="0" w:color="auto"/>
              <w:bottom w:val="single" w:sz="4" w:space="0" w:color="FFFFFF" w:themeColor="background1"/>
              <w:right w:val="nil"/>
            </w:tcBorders>
            <w:vAlign w:val="bottom"/>
            <w:hideMark/>
          </w:tcPr>
          <w:p w14:paraId="245BF63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Israel</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701075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0,3</w:t>
            </w:r>
          </w:p>
        </w:tc>
        <w:tc>
          <w:tcPr>
            <w:tcW w:w="990" w:type="dxa"/>
            <w:tcBorders>
              <w:top w:val="nil"/>
              <w:left w:val="nil"/>
              <w:bottom w:val="single" w:sz="4" w:space="0" w:color="FFFFFF" w:themeColor="background1"/>
              <w:right w:val="single" w:sz="4" w:space="0" w:color="FFFFFF" w:themeColor="background1"/>
            </w:tcBorders>
            <w:vAlign w:val="bottom"/>
            <w:hideMark/>
          </w:tcPr>
          <w:p w14:paraId="7D84C99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2.627,5</w:t>
            </w:r>
          </w:p>
        </w:tc>
        <w:tc>
          <w:tcPr>
            <w:tcW w:w="990" w:type="dxa"/>
            <w:tcBorders>
              <w:top w:val="nil"/>
              <w:left w:val="nil"/>
              <w:bottom w:val="single" w:sz="4" w:space="0" w:color="FFFFFF" w:themeColor="background1"/>
              <w:right w:val="single" w:sz="4" w:space="0" w:color="FFFFFF" w:themeColor="background1"/>
            </w:tcBorders>
            <w:vAlign w:val="bottom"/>
            <w:hideMark/>
          </w:tcPr>
          <w:p w14:paraId="6A3665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3.693,0</w:t>
            </w:r>
          </w:p>
        </w:tc>
        <w:tc>
          <w:tcPr>
            <w:tcW w:w="673" w:type="dxa"/>
            <w:tcBorders>
              <w:top w:val="nil"/>
              <w:left w:val="nil"/>
              <w:bottom w:val="single" w:sz="4" w:space="0" w:color="FFFFFF" w:themeColor="background1"/>
              <w:right w:val="single" w:sz="4" w:space="0" w:color="auto"/>
            </w:tcBorders>
            <w:noWrap/>
            <w:vAlign w:val="bottom"/>
            <w:hideMark/>
          </w:tcPr>
          <w:p w14:paraId="43F0CDE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40,6</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817CF1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4716E3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3.260,8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E9E16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2.381,2</w:t>
            </w:r>
          </w:p>
        </w:tc>
        <w:tc>
          <w:tcPr>
            <w:tcW w:w="673" w:type="dxa"/>
            <w:tcBorders>
              <w:top w:val="nil"/>
              <w:left w:val="nil"/>
              <w:bottom w:val="single" w:sz="4" w:space="0" w:color="FFFFFF" w:themeColor="background1"/>
              <w:right w:val="nil"/>
            </w:tcBorders>
            <w:noWrap/>
            <w:vAlign w:val="bottom"/>
            <w:hideMark/>
          </w:tcPr>
          <w:p w14:paraId="71C9D45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6E42E6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64,5</w:t>
            </w:r>
          </w:p>
        </w:tc>
      </w:tr>
      <w:tr w:rsidR="005323F9" w14:paraId="209E79E8" w14:textId="77777777" w:rsidTr="005323F9">
        <w:tc>
          <w:tcPr>
            <w:tcW w:w="1303" w:type="dxa"/>
            <w:tcBorders>
              <w:top w:val="nil"/>
              <w:left w:val="single" w:sz="4" w:space="0" w:color="auto"/>
              <w:bottom w:val="single" w:sz="4" w:space="0" w:color="FFFFFF" w:themeColor="background1"/>
              <w:right w:val="nil"/>
            </w:tcBorders>
            <w:vAlign w:val="bottom"/>
            <w:hideMark/>
          </w:tcPr>
          <w:p w14:paraId="3731E59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Singapur</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04154A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558739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45,5</w:t>
            </w:r>
          </w:p>
        </w:tc>
        <w:tc>
          <w:tcPr>
            <w:tcW w:w="990" w:type="dxa"/>
            <w:tcBorders>
              <w:top w:val="nil"/>
              <w:left w:val="nil"/>
              <w:bottom w:val="single" w:sz="4" w:space="0" w:color="FFFFFF" w:themeColor="background1"/>
              <w:right w:val="single" w:sz="4" w:space="0" w:color="FFFFFF" w:themeColor="background1"/>
            </w:tcBorders>
            <w:vAlign w:val="bottom"/>
            <w:hideMark/>
          </w:tcPr>
          <w:p w14:paraId="1D5820A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c>
          <w:tcPr>
            <w:tcW w:w="673" w:type="dxa"/>
            <w:tcBorders>
              <w:top w:val="nil"/>
              <w:left w:val="nil"/>
              <w:bottom w:val="single" w:sz="4" w:space="0" w:color="FFFFFF" w:themeColor="background1"/>
              <w:right w:val="single" w:sz="4" w:space="0" w:color="auto"/>
            </w:tcBorders>
            <w:noWrap/>
            <w:vAlign w:val="bottom"/>
            <w:hideMark/>
          </w:tcPr>
          <w:p w14:paraId="58EA9A7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-98,3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B34863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90EEF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411,3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D07392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2.005,8</w:t>
            </w:r>
          </w:p>
        </w:tc>
        <w:tc>
          <w:tcPr>
            <w:tcW w:w="673" w:type="dxa"/>
            <w:tcBorders>
              <w:top w:val="nil"/>
              <w:left w:val="nil"/>
              <w:bottom w:val="single" w:sz="4" w:space="0" w:color="FFFFFF" w:themeColor="background1"/>
              <w:right w:val="nil"/>
            </w:tcBorders>
            <w:noWrap/>
            <w:vAlign w:val="bottom"/>
            <w:hideMark/>
          </w:tcPr>
          <w:p w14:paraId="1928485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387,7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96CDE7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252.622,7</w:t>
            </w:r>
          </w:p>
        </w:tc>
      </w:tr>
      <w:tr w:rsidR="005323F9" w14:paraId="282B34FA" w14:textId="77777777" w:rsidTr="005323F9">
        <w:tc>
          <w:tcPr>
            <w:tcW w:w="1303" w:type="dxa"/>
            <w:tcBorders>
              <w:top w:val="nil"/>
              <w:left w:val="single" w:sz="4" w:space="0" w:color="auto"/>
              <w:bottom w:val="single" w:sz="4" w:space="0" w:color="FFFFFF" w:themeColor="background1"/>
              <w:right w:val="nil"/>
            </w:tcBorders>
            <w:vAlign w:val="bottom"/>
            <w:hideMark/>
          </w:tcPr>
          <w:p w14:paraId="7AB77F7C"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China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CA2BFD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29,6</w:t>
            </w:r>
          </w:p>
        </w:tc>
        <w:tc>
          <w:tcPr>
            <w:tcW w:w="990" w:type="dxa"/>
            <w:tcBorders>
              <w:top w:val="nil"/>
              <w:left w:val="nil"/>
              <w:bottom w:val="single" w:sz="4" w:space="0" w:color="FFFFFF" w:themeColor="background1"/>
              <w:right w:val="single" w:sz="4" w:space="0" w:color="FFFFFF" w:themeColor="background1"/>
            </w:tcBorders>
            <w:vAlign w:val="bottom"/>
            <w:hideMark/>
          </w:tcPr>
          <w:p w14:paraId="3AA593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380.207,5</w:t>
            </w:r>
          </w:p>
        </w:tc>
        <w:tc>
          <w:tcPr>
            <w:tcW w:w="990" w:type="dxa"/>
            <w:tcBorders>
              <w:top w:val="nil"/>
              <w:left w:val="nil"/>
              <w:bottom w:val="single" w:sz="4" w:space="0" w:color="FFFFFF" w:themeColor="background1"/>
              <w:right w:val="single" w:sz="4" w:space="0" w:color="FFFFFF" w:themeColor="background1"/>
            </w:tcBorders>
            <w:vAlign w:val="bottom"/>
            <w:hideMark/>
          </w:tcPr>
          <w:p w14:paraId="7D263E2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435.076,2</w:t>
            </w:r>
          </w:p>
        </w:tc>
        <w:tc>
          <w:tcPr>
            <w:tcW w:w="673" w:type="dxa"/>
            <w:tcBorders>
              <w:top w:val="nil"/>
              <w:left w:val="nil"/>
              <w:bottom w:val="single" w:sz="4" w:space="0" w:color="FFFFFF" w:themeColor="background1"/>
              <w:right w:val="single" w:sz="4" w:space="0" w:color="auto"/>
            </w:tcBorders>
            <w:noWrap/>
            <w:vAlign w:val="bottom"/>
            <w:hideMark/>
          </w:tcPr>
          <w:p w14:paraId="3F2B593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D09DD4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E79FDB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2.905,6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908816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1.687,5</w:t>
            </w:r>
          </w:p>
        </w:tc>
        <w:tc>
          <w:tcPr>
            <w:tcW w:w="673" w:type="dxa"/>
            <w:tcBorders>
              <w:top w:val="nil"/>
              <w:left w:val="nil"/>
              <w:bottom w:val="single" w:sz="4" w:space="0" w:color="FFFFFF" w:themeColor="background1"/>
              <w:right w:val="nil"/>
            </w:tcBorders>
            <w:noWrap/>
            <w:vAlign w:val="bottom"/>
            <w:hideMark/>
          </w:tcPr>
          <w:p w14:paraId="4658E70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-41,9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BA370C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r>
      <w:tr w:rsidR="005323F9" w14:paraId="39134E84" w14:textId="77777777" w:rsidTr="005323F9">
        <w:tc>
          <w:tcPr>
            <w:tcW w:w="1303" w:type="dxa"/>
            <w:tcBorders>
              <w:top w:val="nil"/>
              <w:left w:val="single" w:sz="4" w:space="0" w:color="auto"/>
              <w:bottom w:val="single" w:sz="4" w:space="0" w:color="FFFFFF" w:themeColor="background1"/>
              <w:right w:val="nil"/>
            </w:tcBorders>
            <w:vAlign w:val="bottom"/>
            <w:hideMark/>
          </w:tcPr>
          <w:p w14:paraId="1C9C1FC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D.R. Kongo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C7B0D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7B4431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c>
          <w:tcPr>
            <w:tcW w:w="990" w:type="dxa"/>
            <w:tcBorders>
              <w:top w:val="nil"/>
              <w:left w:val="nil"/>
              <w:bottom w:val="single" w:sz="4" w:space="0" w:color="FFFFFF" w:themeColor="background1"/>
              <w:right w:val="single" w:sz="4" w:space="0" w:color="FFFFFF" w:themeColor="background1"/>
            </w:tcBorders>
            <w:vAlign w:val="bottom"/>
            <w:hideMark/>
          </w:tcPr>
          <w:p w14:paraId="297DE2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0,9</w:t>
            </w:r>
          </w:p>
        </w:tc>
        <w:tc>
          <w:tcPr>
            <w:tcW w:w="673" w:type="dxa"/>
            <w:tcBorders>
              <w:top w:val="nil"/>
              <w:left w:val="nil"/>
              <w:bottom w:val="single" w:sz="4" w:space="0" w:color="FFFFFF" w:themeColor="background1"/>
              <w:right w:val="single" w:sz="4" w:space="0" w:color="auto"/>
            </w:tcBorders>
            <w:noWrap/>
            <w:vAlign w:val="bottom"/>
            <w:hideMark/>
          </w:tcPr>
          <w:p w14:paraId="5D6093B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84,5</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D0FE69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60D11A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900,1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E6B30B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1.410,6</w:t>
            </w:r>
          </w:p>
        </w:tc>
        <w:tc>
          <w:tcPr>
            <w:tcW w:w="673" w:type="dxa"/>
            <w:tcBorders>
              <w:top w:val="nil"/>
              <w:left w:val="nil"/>
              <w:bottom w:val="single" w:sz="4" w:space="0" w:color="FFFFFF" w:themeColor="background1"/>
              <w:right w:val="nil"/>
            </w:tcBorders>
            <w:noWrap/>
            <w:vAlign w:val="bottom"/>
            <w:hideMark/>
          </w:tcPr>
          <w:p w14:paraId="713909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41F8A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164.791,7</w:t>
            </w:r>
          </w:p>
        </w:tc>
      </w:tr>
      <w:tr w:rsidR="005323F9" w14:paraId="78EFDC22" w14:textId="77777777" w:rsidTr="005323F9">
        <w:tc>
          <w:tcPr>
            <w:tcW w:w="1303" w:type="dxa"/>
            <w:tcBorders>
              <w:top w:val="nil"/>
              <w:left w:val="single" w:sz="4" w:space="0" w:color="auto"/>
              <w:bottom w:val="single" w:sz="4" w:space="0" w:color="FFFFFF" w:themeColor="background1"/>
              <w:right w:val="nil"/>
            </w:tcBorders>
            <w:vAlign w:val="bottom"/>
            <w:hideMark/>
          </w:tcPr>
          <w:p w14:paraId="34B7EB2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VAE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EC42E4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73012B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75,5</w:t>
            </w:r>
          </w:p>
        </w:tc>
        <w:tc>
          <w:tcPr>
            <w:tcW w:w="990" w:type="dxa"/>
            <w:tcBorders>
              <w:top w:val="nil"/>
              <w:left w:val="nil"/>
              <w:bottom w:val="single" w:sz="4" w:space="0" w:color="FFFFFF" w:themeColor="background1"/>
              <w:right w:val="single" w:sz="4" w:space="0" w:color="FFFFFF" w:themeColor="background1"/>
            </w:tcBorders>
            <w:vAlign w:val="bottom"/>
            <w:hideMark/>
          </w:tcPr>
          <w:p w14:paraId="2A4BB84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20,9</w:t>
            </w:r>
          </w:p>
        </w:tc>
        <w:tc>
          <w:tcPr>
            <w:tcW w:w="673" w:type="dxa"/>
            <w:tcBorders>
              <w:top w:val="nil"/>
              <w:left w:val="nil"/>
              <w:bottom w:val="single" w:sz="4" w:space="0" w:color="FFFFFF" w:themeColor="background1"/>
              <w:right w:val="single" w:sz="4" w:space="0" w:color="auto"/>
            </w:tcBorders>
            <w:noWrap/>
            <w:vAlign w:val="bottom"/>
            <w:hideMark/>
          </w:tcPr>
          <w:p w14:paraId="35EA1B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11D44B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AE350F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1.395,3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DA5FE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1.374,4</w:t>
            </w:r>
          </w:p>
        </w:tc>
        <w:tc>
          <w:tcPr>
            <w:tcW w:w="673" w:type="dxa"/>
            <w:tcBorders>
              <w:top w:val="nil"/>
              <w:left w:val="nil"/>
              <w:bottom w:val="single" w:sz="4" w:space="0" w:color="FFFFFF" w:themeColor="background1"/>
              <w:right w:val="nil"/>
            </w:tcBorders>
            <w:noWrap/>
            <w:vAlign w:val="bottom"/>
            <w:hideMark/>
          </w:tcPr>
          <w:p w14:paraId="74102F4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BF1DE7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6.565,9</w:t>
            </w:r>
          </w:p>
        </w:tc>
      </w:tr>
      <w:tr w:rsidR="005323F9" w14:paraId="20D026E2" w14:textId="77777777" w:rsidTr="005323F9">
        <w:tc>
          <w:tcPr>
            <w:tcW w:w="1303" w:type="dxa"/>
            <w:tcBorders>
              <w:top w:val="nil"/>
              <w:left w:val="single" w:sz="4" w:space="0" w:color="auto"/>
              <w:bottom w:val="single" w:sz="4" w:space="0" w:color="FFFFFF" w:themeColor="background1"/>
              <w:right w:val="nil"/>
            </w:tcBorders>
            <w:vAlign w:val="bottom"/>
            <w:hideMark/>
          </w:tcPr>
          <w:p w14:paraId="24DCF5F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Marokko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BD4067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0094D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399,6</w:t>
            </w:r>
          </w:p>
        </w:tc>
        <w:tc>
          <w:tcPr>
            <w:tcW w:w="990" w:type="dxa"/>
            <w:tcBorders>
              <w:top w:val="nil"/>
              <w:left w:val="nil"/>
              <w:bottom w:val="single" w:sz="4" w:space="0" w:color="FFFFFF" w:themeColor="background1"/>
              <w:right w:val="single" w:sz="4" w:space="0" w:color="FFFFFF" w:themeColor="background1"/>
            </w:tcBorders>
            <w:vAlign w:val="bottom"/>
            <w:hideMark/>
          </w:tcPr>
          <w:p w14:paraId="1FF62A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366,2</w:t>
            </w:r>
          </w:p>
        </w:tc>
        <w:tc>
          <w:tcPr>
            <w:tcW w:w="673" w:type="dxa"/>
            <w:tcBorders>
              <w:top w:val="nil"/>
              <w:left w:val="nil"/>
              <w:bottom w:val="single" w:sz="4" w:space="0" w:color="FFFFFF" w:themeColor="background1"/>
              <w:right w:val="single" w:sz="4" w:space="0" w:color="auto"/>
            </w:tcBorders>
            <w:noWrap/>
            <w:vAlign w:val="bottom"/>
            <w:hideMark/>
          </w:tcPr>
          <w:p w14:paraId="41D61B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DF07DB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E137BF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832,4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C88A70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1.299,1</w:t>
            </w:r>
          </w:p>
        </w:tc>
        <w:tc>
          <w:tcPr>
            <w:tcW w:w="673" w:type="dxa"/>
            <w:tcBorders>
              <w:top w:val="nil"/>
              <w:left w:val="nil"/>
              <w:bottom w:val="single" w:sz="4" w:space="0" w:color="FFFFFF" w:themeColor="background1"/>
              <w:right w:val="nil"/>
            </w:tcBorders>
            <w:noWrap/>
            <w:vAlign w:val="bottom"/>
            <w:hideMark/>
          </w:tcPr>
          <w:p w14:paraId="517D672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2EB1D4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354,8</w:t>
            </w:r>
          </w:p>
        </w:tc>
      </w:tr>
      <w:tr w:rsidR="005323F9" w14:paraId="58B16A4C" w14:textId="77777777" w:rsidTr="005323F9">
        <w:tc>
          <w:tcPr>
            <w:tcW w:w="1303" w:type="dxa"/>
            <w:tcBorders>
              <w:top w:val="nil"/>
              <w:left w:val="single" w:sz="4" w:space="0" w:color="auto"/>
              <w:bottom w:val="single" w:sz="4" w:space="0" w:color="FFFFFF" w:themeColor="background1"/>
              <w:right w:val="nil"/>
            </w:tcBorders>
            <w:vAlign w:val="bottom"/>
            <w:hideMark/>
          </w:tcPr>
          <w:p w14:paraId="6C70750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Japan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1459D7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56B628C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2.411,4</w:t>
            </w:r>
          </w:p>
        </w:tc>
        <w:tc>
          <w:tcPr>
            <w:tcW w:w="990" w:type="dxa"/>
            <w:tcBorders>
              <w:top w:val="nil"/>
              <w:left w:val="nil"/>
              <w:bottom w:val="single" w:sz="4" w:space="0" w:color="FFFFFF" w:themeColor="background1"/>
              <w:right w:val="single" w:sz="4" w:space="0" w:color="FFFFFF" w:themeColor="background1"/>
            </w:tcBorders>
            <w:vAlign w:val="bottom"/>
            <w:hideMark/>
          </w:tcPr>
          <w:p w14:paraId="2548537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918,7</w:t>
            </w:r>
          </w:p>
        </w:tc>
        <w:tc>
          <w:tcPr>
            <w:tcW w:w="673" w:type="dxa"/>
            <w:tcBorders>
              <w:top w:val="nil"/>
              <w:left w:val="nil"/>
              <w:bottom w:val="single" w:sz="4" w:space="0" w:color="FFFFFF" w:themeColor="background1"/>
              <w:right w:val="single" w:sz="4" w:space="0" w:color="auto"/>
            </w:tcBorders>
            <w:noWrap/>
            <w:vAlign w:val="bottom"/>
            <w:hideMark/>
          </w:tcPr>
          <w:p w14:paraId="62B77E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-61,9</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46BE04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98749E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914,7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629E08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1.124,9</w:t>
            </w:r>
          </w:p>
        </w:tc>
        <w:tc>
          <w:tcPr>
            <w:tcW w:w="673" w:type="dxa"/>
            <w:tcBorders>
              <w:top w:val="nil"/>
              <w:left w:val="nil"/>
              <w:bottom w:val="single" w:sz="4" w:space="0" w:color="FFFFFF" w:themeColor="background1"/>
              <w:right w:val="nil"/>
            </w:tcBorders>
            <w:noWrap/>
            <w:vAlign w:val="bottom"/>
            <w:hideMark/>
          </w:tcPr>
          <w:p w14:paraId="4F987AA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7A74FE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122,4</w:t>
            </w:r>
          </w:p>
        </w:tc>
      </w:tr>
      <w:tr w:rsidR="005323F9" w14:paraId="096BA470" w14:textId="77777777" w:rsidTr="005323F9">
        <w:tc>
          <w:tcPr>
            <w:tcW w:w="1303" w:type="dxa"/>
            <w:tcBorders>
              <w:top w:val="nil"/>
              <w:left w:val="single" w:sz="4" w:space="0" w:color="auto"/>
              <w:bottom w:val="single" w:sz="4" w:space="0" w:color="FFFFFF" w:themeColor="background1"/>
              <w:right w:val="nil"/>
            </w:tcBorders>
            <w:vAlign w:val="bottom"/>
            <w:hideMark/>
          </w:tcPr>
          <w:p w14:paraId="2947B87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Kamerun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F7D1C7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DBA4D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11,1</w:t>
            </w:r>
          </w:p>
        </w:tc>
        <w:tc>
          <w:tcPr>
            <w:tcW w:w="990" w:type="dxa"/>
            <w:tcBorders>
              <w:top w:val="nil"/>
              <w:left w:val="nil"/>
              <w:bottom w:val="single" w:sz="4" w:space="0" w:color="FFFFFF" w:themeColor="background1"/>
              <w:right w:val="single" w:sz="4" w:space="0" w:color="FFFFFF" w:themeColor="background1"/>
            </w:tcBorders>
            <w:vAlign w:val="bottom"/>
            <w:hideMark/>
          </w:tcPr>
          <w:p w14:paraId="2F35AD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31,5</w:t>
            </w:r>
          </w:p>
        </w:tc>
        <w:tc>
          <w:tcPr>
            <w:tcW w:w="673" w:type="dxa"/>
            <w:tcBorders>
              <w:top w:val="nil"/>
              <w:left w:val="nil"/>
              <w:bottom w:val="single" w:sz="4" w:space="0" w:color="FFFFFF" w:themeColor="background1"/>
              <w:right w:val="single" w:sz="4" w:space="0" w:color="auto"/>
            </w:tcBorders>
            <w:noWrap/>
            <w:vAlign w:val="bottom"/>
            <w:hideMark/>
          </w:tcPr>
          <w:p w14:paraId="3960A34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183,1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B64582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3975C1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875,0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0B58C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1.071,7</w:t>
            </w:r>
          </w:p>
        </w:tc>
        <w:tc>
          <w:tcPr>
            <w:tcW w:w="673" w:type="dxa"/>
            <w:tcBorders>
              <w:top w:val="nil"/>
              <w:left w:val="nil"/>
              <w:bottom w:val="single" w:sz="4" w:space="0" w:color="FFFFFF" w:themeColor="background1"/>
              <w:right w:val="nil"/>
            </w:tcBorders>
            <w:noWrap/>
            <w:vAlign w:val="bottom"/>
            <w:hideMark/>
          </w:tcPr>
          <w:p w14:paraId="0FEEB88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42ACF9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3.398,3</w:t>
            </w:r>
          </w:p>
        </w:tc>
      </w:tr>
      <w:tr w:rsidR="005323F9" w14:paraId="66C5ECD4" w14:textId="77777777" w:rsidTr="005323F9">
        <w:tc>
          <w:tcPr>
            <w:tcW w:w="1303" w:type="dxa"/>
            <w:tcBorders>
              <w:top w:val="nil"/>
              <w:left w:val="single" w:sz="4" w:space="0" w:color="auto"/>
              <w:bottom w:val="single" w:sz="4" w:space="0" w:color="FFFFFF" w:themeColor="background1"/>
              <w:right w:val="nil"/>
            </w:tcBorders>
            <w:vAlign w:val="bottom"/>
            <w:hideMark/>
          </w:tcPr>
          <w:p w14:paraId="01900D7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Süd-Korea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E61719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B4F5BC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187,3</w:t>
            </w:r>
          </w:p>
        </w:tc>
        <w:tc>
          <w:tcPr>
            <w:tcW w:w="990" w:type="dxa"/>
            <w:tcBorders>
              <w:top w:val="nil"/>
              <w:left w:val="nil"/>
              <w:bottom w:val="single" w:sz="4" w:space="0" w:color="FFFFFF" w:themeColor="background1"/>
              <w:right w:val="single" w:sz="4" w:space="0" w:color="FFFFFF" w:themeColor="background1"/>
            </w:tcBorders>
            <w:vAlign w:val="bottom"/>
            <w:hideMark/>
          </w:tcPr>
          <w:p w14:paraId="3E8120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102,4</w:t>
            </w:r>
          </w:p>
        </w:tc>
        <w:tc>
          <w:tcPr>
            <w:tcW w:w="673" w:type="dxa"/>
            <w:tcBorders>
              <w:top w:val="nil"/>
              <w:left w:val="nil"/>
              <w:bottom w:val="single" w:sz="4" w:space="0" w:color="FFFFFF" w:themeColor="background1"/>
              <w:right w:val="single" w:sz="4" w:space="0" w:color="auto"/>
            </w:tcBorders>
            <w:noWrap/>
            <w:vAlign w:val="bottom"/>
            <w:hideMark/>
          </w:tcPr>
          <w:p w14:paraId="7ACD59D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-45,3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2FB698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20C990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1.226,2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858008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943,0</w:t>
            </w:r>
          </w:p>
        </w:tc>
        <w:tc>
          <w:tcPr>
            <w:tcW w:w="673" w:type="dxa"/>
            <w:tcBorders>
              <w:top w:val="nil"/>
              <w:left w:val="nil"/>
              <w:bottom w:val="single" w:sz="4" w:space="0" w:color="FFFFFF" w:themeColor="background1"/>
              <w:right w:val="nil"/>
            </w:tcBorders>
            <w:noWrap/>
            <w:vAlign w:val="bottom"/>
            <w:hideMark/>
          </w:tcPr>
          <w:p w14:paraId="13192A7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77ECE8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920,6</w:t>
            </w:r>
          </w:p>
        </w:tc>
      </w:tr>
      <w:tr w:rsidR="005323F9" w14:paraId="7D0B8634" w14:textId="77777777" w:rsidTr="005323F9">
        <w:tc>
          <w:tcPr>
            <w:tcW w:w="1303" w:type="dxa"/>
            <w:tcBorders>
              <w:top w:val="nil"/>
              <w:left w:val="single" w:sz="4" w:space="0" w:color="auto"/>
              <w:bottom w:val="single" w:sz="4" w:space="0" w:color="FFFFFF" w:themeColor="background1"/>
              <w:right w:val="nil"/>
            </w:tcBorders>
            <w:vAlign w:val="bottom"/>
            <w:hideMark/>
          </w:tcPr>
          <w:p w14:paraId="521B6E6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Norwegen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167937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7D9187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64,2</w:t>
            </w:r>
          </w:p>
        </w:tc>
        <w:tc>
          <w:tcPr>
            <w:tcW w:w="990" w:type="dxa"/>
            <w:tcBorders>
              <w:top w:val="nil"/>
              <w:left w:val="nil"/>
              <w:bottom w:val="single" w:sz="4" w:space="0" w:color="FFFFFF" w:themeColor="background1"/>
              <w:right w:val="single" w:sz="4" w:space="0" w:color="FFFFFF" w:themeColor="background1"/>
            </w:tcBorders>
            <w:vAlign w:val="bottom"/>
            <w:hideMark/>
          </w:tcPr>
          <w:p w14:paraId="52FFDE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25,7</w:t>
            </w:r>
          </w:p>
        </w:tc>
        <w:tc>
          <w:tcPr>
            <w:tcW w:w="673" w:type="dxa"/>
            <w:tcBorders>
              <w:top w:val="nil"/>
              <w:left w:val="nil"/>
              <w:bottom w:val="single" w:sz="4" w:space="0" w:color="FFFFFF" w:themeColor="background1"/>
              <w:right w:val="single" w:sz="4" w:space="0" w:color="auto"/>
            </w:tcBorders>
            <w:noWrap/>
            <w:vAlign w:val="bottom"/>
            <w:hideMark/>
          </w:tcPr>
          <w:p w14:paraId="3D13376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-59,9</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541A8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2E1DCF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1.037,7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DE812B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869,1</w:t>
            </w:r>
          </w:p>
        </w:tc>
        <w:tc>
          <w:tcPr>
            <w:tcW w:w="673" w:type="dxa"/>
            <w:tcBorders>
              <w:top w:val="nil"/>
              <w:left w:val="nil"/>
              <w:bottom w:val="single" w:sz="4" w:space="0" w:color="FFFFFF" w:themeColor="background1"/>
              <w:right w:val="nil"/>
            </w:tcBorders>
            <w:noWrap/>
            <w:vAlign w:val="bottom"/>
            <w:hideMark/>
          </w:tcPr>
          <w:p w14:paraId="1B235F9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716B4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3.379,5</w:t>
            </w:r>
          </w:p>
        </w:tc>
      </w:tr>
      <w:tr w:rsidR="005323F9" w:rsidRPr="005323F9" w14:paraId="2E19E92A" w14:textId="77777777" w:rsidTr="005323F9">
        <w:tc>
          <w:tcPr>
            <w:tcW w:w="9172"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3E2860E4" w14:textId="77777777" w:rsidR="005323F9" w:rsidRDefault="005323F9">
            <w:pPr>
              <w:jc w:val="center"/>
              <w:rPr>
                <w:rFonts w:cstheme="minorHAnsi"/>
                <w:b/>
                <w:bCs/>
                <w:sz w:val="16"/>
                <w:szCs w:val="16"/>
                <w:lang w:val="de-DE" w:eastAsia="nl-BE"/>
              </w:rPr>
            </w:pPr>
            <w:r>
              <w:rPr>
                <w:rFonts w:ascii="Calibri" w:hAnsi="Calibri" w:cstheme="minorHAnsi"/>
                <w:b/>
                <w:bCs/>
                <w:sz w:val="16"/>
                <w:szCs w:val="16"/>
                <w:lang w:val="de-DE" w:eastAsia="nl-BE"/>
              </w:rPr>
              <w:t>Auslandshandel Möbelindustrie (inkl. Möbel aus Metall und Kunststoff)</w:t>
            </w:r>
          </w:p>
        </w:tc>
      </w:tr>
      <w:tr w:rsidR="005323F9" w14:paraId="5E73E9B3"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3312BE0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3557"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71112793" w14:textId="77777777" w:rsidR="005323F9" w:rsidRDefault="005323F9">
            <w:pPr>
              <w:jc w:val="center"/>
              <w:rPr>
                <w:rFonts w:cstheme="minorHAnsi"/>
                <w:b/>
                <w:bCs/>
                <w:color w:val="000000"/>
                <w:sz w:val="16"/>
                <w:szCs w:val="16"/>
                <w:lang w:val="de-DE" w:eastAsia="nl-BE"/>
              </w:rPr>
            </w:pPr>
            <w:r>
              <w:rPr>
                <w:rFonts w:ascii="Calibri" w:hAnsi="Calibri" w:cstheme="minorHAnsi"/>
                <w:b/>
                <w:bCs/>
                <w:color w:val="000000"/>
                <w:sz w:val="16"/>
                <w:szCs w:val="16"/>
                <w:lang w:val="de-DE" w:eastAsia="nl-BE"/>
              </w:rPr>
              <w:t>Belgischer Import</w:t>
            </w:r>
          </w:p>
        </w:tc>
        <w:tc>
          <w:tcPr>
            <w:tcW w:w="3210" w:type="dxa"/>
            <w:gridSpan w:val="4"/>
            <w:shd w:val="clear" w:color="auto" w:fill="FFFFFF" w:themeFill="background1"/>
            <w:noWrap/>
            <w:vAlign w:val="bottom"/>
            <w:hideMark/>
          </w:tcPr>
          <w:p w14:paraId="3A28171B" w14:textId="77777777" w:rsidR="005323F9" w:rsidRDefault="005323F9">
            <w:pPr>
              <w:jc w:val="center"/>
              <w:rPr>
                <w:rFonts w:cstheme="minorHAnsi"/>
                <w:b/>
                <w:bCs/>
                <w:color w:val="000000"/>
                <w:sz w:val="16"/>
                <w:szCs w:val="16"/>
                <w:lang w:val="de-DE" w:eastAsia="nl-BE"/>
              </w:rPr>
            </w:pPr>
            <w:r>
              <w:rPr>
                <w:rFonts w:ascii="Calibri" w:hAnsi="Calibri" w:cstheme="minorHAnsi"/>
                <w:b/>
                <w:bCs/>
                <w:color w:val="000000"/>
                <w:sz w:val="16"/>
                <w:szCs w:val="16"/>
                <w:lang w:val="de-DE" w:eastAsia="nl-BE"/>
              </w:rPr>
              <w:t>Belgischer Export</w:t>
            </w:r>
          </w:p>
        </w:tc>
        <w:tc>
          <w:tcPr>
            <w:tcW w:w="1102" w:type="dxa"/>
            <w:tcBorders>
              <w:top w:val="nil"/>
              <w:left w:val="single" w:sz="4" w:space="0" w:color="auto"/>
              <w:bottom w:val="nil"/>
              <w:right w:val="single" w:sz="4" w:space="0" w:color="auto"/>
            </w:tcBorders>
            <w:shd w:val="clear" w:color="auto" w:fill="FFFFFF" w:themeFill="background1"/>
            <w:noWrap/>
            <w:vAlign w:val="bottom"/>
            <w:hideMark/>
          </w:tcPr>
          <w:p w14:paraId="2F0B457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Deckungs-</w:t>
            </w:r>
          </w:p>
        </w:tc>
      </w:tr>
      <w:tr w:rsidR="005323F9" w14:paraId="2FFD703F"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1FD9563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6FCD3BD1"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Anteil</w:t>
            </w:r>
          </w:p>
        </w:tc>
        <w:tc>
          <w:tcPr>
            <w:tcW w:w="990" w:type="dxa"/>
            <w:shd w:val="clear" w:color="auto" w:fill="FFFFFF" w:themeFill="background1"/>
            <w:noWrap/>
            <w:vAlign w:val="bottom"/>
            <w:hideMark/>
          </w:tcPr>
          <w:p w14:paraId="2F7CB7D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990" w:type="dxa"/>
            <w:shd w:val="clear" w:color="auto" w:fill="FFFFFF" w:themeFill="background1"/>
            <w:noWrap/>
            <w:vAlign w:val="bottom"/>
            <w:hideMark/>
          </w:tcPr>
          <w:p w14:paraId="5EA570C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673" w:type="dxa"/>
            <w:tcBorders>
              <w:top w:val="nil"/>
              <w:left w:val="nil"/>
              <w:bottom w:val="nil"/>
              <w:right w:val="single" w:sz="4" w:space="0" w:color="auto"/>
            </w:tcBorders>
            <w:shd w:val="clear" w:color="auto" w:fill="FFFFFF" w:themeFill="background1"/>
            <w:noWrap/>
            <w:vAlign w:val="bottom"/>
            <w:hideMark/>
          </w:tcPr>
          <w:p w14:paraId="0BE4223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829" w:type="dxa"/>
            <w:shd w:val="clear" w:color="auto" w:fill="FFFFFF" w:themeFill="background1"/>
            <w:noWrap/>
            <w:vAlign w:val="bottom"/>
            <w:hideMark/>
          </w:tcPr>
          <w:p w14:paraId="4A0159FE"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Anteil</w:t>
            </w:r>
          </w:p>
        </w:tc>
        <w:tc>
          <w:tcPr>
            <w:tcW w:w="854" w:type="dxa"/>
            <w:shd w:val="clear" w:color="auto" w:fill="FFFFFF" w:themeFill="background1"/>
            <w:noWrap/>
            <w:vAlign w:val="bottom"/>
            <w:hideMark/>
          </w:tcPr>
          <w:p w14:paraId="30E64016"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854" w:type="dxa"/>
            <w:shd w:val="clear" w:color="auto" w:fill="FFFFFF" w:themeFill="background1"/>
            <w:noWrap/>
            <w:vAlign w:val="bottom"/>
            <w:hideMark/>
          </w:tcPr>
          <w:p w14:paraId="0C356B8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673" w:type="dxa"/>
            <w:shd w:val="clear" w:color="auto" w:fill="FFFFFF" w:themeFill="background1"/>
            <w:noWrap/>
            <w:vAlign w:val="bottom"/>
            <w:hideMark/>
          </w:tcPr>
          <w:p w14:paraId="786AE438"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 </w:t>
            </w:r>
          </w:p>
        </w:tc>
        <w:tc>
          <w:tcPr>
            <w:tcW w:w="1102" w:type="dxa"/>
            <w:tcBorders>
              <w:top w:val="nil"/>
              <w:left w:val="single" w:sz="4" w:space="0" w:color="auto"/>
              <w:bottom w:val="nil"/>
              <w:right w:val="single" w:sz="4" w:space="0" w:color="auto"/>
            </w:tcBorders>
            <w:shd w:val="clear" w:color="auto" w:fill="FFFFFF" w:themeFill="background1"/>
            <w:noWrap/>
            <w:vAlign w:val="bottom"/>
            <w:hideMark/>
          </w:tcPr>
          <w:p w14:paraId="37C231CE"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Prozentsatz</w:t>
            </w:r>
          </w:p>
        </w:tc>
      </w:tr>
      <w:tr w:rsidR="005323F9" w14:paraId="038693C6" w14:textId="77777777" w:rsidTr="005323F9">
        <w:tc>
          <w:tcPr>
            <w:tcW w:w="1303" w:type="dxa"/>
            <w:tcBorders>
              <w:top w:val="nil"/>
              <w:left w:val="single" w:sz="4" w:space="0" w:color="auto"/>
              <w:bottom w:val="nil"/>
              <w:right w:val="nil"/>
            </w:tcBorders>
            <w:shd w:val="clear" w:color="auto" w:fill="FFFFFF" w:themeFill="background1"/>
            <w:noWrap/>
            <w:vAlign w:val="bottom"/>
            <w:hideMark/>
          </w:tcPr>
          <w:p w14:paraId="28C7F48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19FBEDF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990" w:type="dxa"/>
            <w:shd w:val="clear" w:color="auto" w:fill="FFFFFF" w:themeFill="background1"/>
            <w:noWrap/>
            <w:vAlign w:val="bottom"/>
            <w:hideMark/>
          </w:tcPr>
          <w:p w14:paraId="70E565FC"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6m2021</w:t>
            </w:r>
          </w:p>
        </w:tc>
        <w:tc>
          <w:tcPr>
            <w:tcW w:w="990" w:type="dxa"/>
            <w:shd w:val="clear" w:color="auto" w:fill="FFFFFF" w:themeFill="background1"/>
            <w:noWrap/>
            <w:vAlign w:val="bottom"/>
            <w:hideMark/>
          </w:tcPr>
          <w:p w14:paraId="2B867068"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5F9302FF"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w:t>
            </w:r>
          </w:p>
        </w:tc>
        <w:tc>
          <w:tcPr>
            <w:tcW w:w="829" w:type="dxa"/>
            <w:shd w:val="clear" w:color="auto" w:fill="FFFFFF" w:themeFill="background1"/>
            <w:noWrap/>
            <w:vAlign w:val="bottom"/>
            <w:hideMark/>
          </w:tcPr>
          <w:p w14:paraId="25E6D9D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854" w:type="dxa"/>
            <w:shd w:val="clear" w:color="auto" w:fill="FFFFFF" w:themeFill="background1"/>
            <w:noWrap/>
            <w:vAlign w:val="bottom"/>
            <w:hideMark/>
          </w:tcPr>
          <w:p w14:paraId="243FC17B"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6m2021</w:t>
            </w:r>
          </w:p>
        </w:tc>
        <w:tc>
          <w:tcPr>
            <w:tcW w:w="854" w:type="dxa"/>
            <w:shd w:val="clear" w:color="auto" w:fill="FFFFFF" w:themeFill="background1"/>
            <w:noWrap/>
            <w:vAlign w:val="bottom"/>
            <w:hideMark/>
          </w:tcPr>
          <w:p w14:paraId="3CEE6440"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2088B98D"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w:t>
            </w:r>
          </w:p>
        </w:tc>
        <w:tc>
          <w:tcPr>
            <w:tcW w:w="1102" w:type="dxa"/>
            <w:tcBorders>
              <w:top w:val="nil"/>
              <w:left w:val="nil"/>
              <w:bottom w:val="nil"/>
              <w:right w:val="single" w:sz="4" w:space="0" w:color="auto"/>
            </w:tcBorders>
            <w:shd w:val="clear" w:color="auto" w:fill="FFFFFF" w:themeFill="background1"/>
            <w:noWrap/>
            <w:vAlign w:val="bottom"/>
            <w:hideMark/>
          </w:tcPr>
          <w:p w14:paraId="384328F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6m2022</w:t>
            </w:r>
          </w:p>
        </w:tc>
      </w:tr>
      <w:tr w:rsidR="005323F9" w14:paraId="2C5BCF1A" w14:textId="77777777" w:rsidTr="005323F9">
        <w:tc>
          <w:tcPr>
            <w:tcW w:w="1303"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5CDFCDD2" w14:textId="77777777" w:rsidR="005323F9" w:rsidRDefault="005323F9">
            <w:pPr>
              <w:rPr>
                <w:rFonts w:cstheme="minorHAnsi"/>
                <w:b/>
                <w:bCs/>
                <w:color w:val="000000"/>
                <w:sz w:val="16"/>
                <w:szCs w:val="16"/>
                <w:lang w:val="de-DE" w:eastAsia="nl-BE"/>
              </w:rPr>
            </w:pPr>
            <w:r>
              <w:rPr>
                <w:rFonts w:ascii="Calibri" w:hAnsi="Calibri" w:cstheme="minorHAnsi"/>
                <w:b/>
                <w:bCs/>
                <w:color w:val="000000"/>
                <w:sz w:val="16"/>
                <w:szCs w:val="16"/>
                <w:lang w:val="de-DE" w:eastAsia="nl-BE"/>
              </w:rPr>
              <w:t>Länder</w:t>
            </w:r>
          </w:p>
        </w:tc>
        <w:tc>
          <w:tcPr>
            <w:tcW w:w="90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10E7E8A7"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in %</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BD50FB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7C85FB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4D0C6B2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22/21</w:t>
            </w:r>
          </w:p>
        </w:tc>
        <w:tc>
          <w:tcPr>
            <w:tcW w:w="82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7076E305"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in %</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1BF037B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9956B52"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244329D1"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22/21</w:t>
            </w:r>
          </w:p>
        </w:tc>
        <w:tc>
          <w:tcPr>
            <w:tcW w:w="1102"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3FA80886" w14:textId="77777777" w:rsidR="005323F9" w:rsidRDefault="005323F9">
            <w:pPr>
              <w:jc w:val="center"/>
              <w:rPr>
                <w:rFonts w:cstheme="minorHAnsi"/>
                <w:color w:val="000000"/>
                <w:sz w:val="16"/>
                <w:szCs w:val="16"/>
                <w:lang w:val="de-DE" w:eastAsia="nl-BE"/>
              </w:rPr>
            </w:pPr>
            <w:r>
              <w:rPr>
                <w:rFonts w:cstheme="minorHAnsi"/>
                <w:color w:val="000000"/>
                <w:sz w:val="16"/>
                <w:szCs w:val="16"/>
                <w:lang w:val="de-DE" w:eastAsia="nl-BE"/>
              </w:rPr>
              <w:t>(</w:t>
            </w:r>
            <w:proofErr w:type="spellStart"/>
            <w:r>
              <w:rPr>
                <w:rFonts w:cstheme="minorHAnsi"/>
                <w:color w:val="000000"/>
                <w:sz w:val="16"/>
                <w:szCs w:val="16"/>
                <w:lang w:val="de-DE" w:eastAsia="nl-BE"/>
              </w:rPr>
              <w:t>Exp</w:t>
            </w:r>
            <w:proofErr w:type="spellEnd"/>
            <w:r>
              <w:rPr>
                <w:rFonts w:cstheme="minorHAnsi"/>
                <w:color w:val="000000"/>
                <w:sz w:val="16"/>
                <w:szCs w:val="16"/>
                <w:lang w:val="de-DE" w:eastAsia="nl-BE"/>
              </w:rPr>
              <w:t>/Imp)</w:t>
            </w:r>
          </w:p>
        </w:tc>
      </w:tr>
      <w:tr w:rsidR="005323F9" w14:paraId="0ABFB576" w14:textId="77777777" w:rsidTr="005323F9">
        <w:tc>
          <w:tcPr>
            <w:tcW w:w="1303" w:type="dxa"/>
            <w:tcBorders>
              <w:top w:val="nil"/>
              <w:left w:val="single" w:sz="4" w:space="0" w:color="auto"/>
              <w:bottom w:val="single" w:sz="4" w:space="0" w:color="FFFFFF" w:themeColor="background1"/>
              <w:right w:val="nil"/>
            </w:tcBorders>
            <w:vAlign w:val="bottom"/>
            <w:hideMark/>
          </w:tcPr>
          <w:p w14:paraId="5924EAC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Togo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850391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8AC50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58AAAD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73C83A4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37025D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068423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AC0BF5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737,8</w:t>
            </w:r>
          </w:p>
        </w:tc>
        <w:tc>
          <w:tcPr>
            <w:tcW w:w="673" w:type="dxa"/>
            <w:tcBorders>
              <w:top w:val="nil"/>
              <w:left w:val="nil"/>
              <w:bottom w:val="single" w:sz="4" w:space="0" w:color="FFFFFF" w:themeColor="background1"/>
              <w:right w:val="nil"/>
            </w:tcBorders>
            <w:noWrap/>
            <w:vAlign w:val="bottom"/>
            <w:hideMark/>
          </w:tcPr>
          <w:p w14:paraId="6F78A55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742,6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26C2B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72AD3EE1" w14:textId="77777777" w:rsidTr="005323F9">
        <w:tc>
          <w:tcPr>
            <w:tcW w:w="1303" w:type="dxa"/>
            <w:tcBorders>
              <w:top w:val="nil"/>
              <w:left w:val="single" w:sz="4" w:space="0" w:color="auto"/>
              <w:bottom w:val="single" w:sz="4" w:space="0" w:color="FFFFFF" w:themeColor="background1"/>
              <w:right w:val="nil"/>
            </w:tcBorders>
            <w:vAlign w:val="bottom"/>
            <w:hideMark/>
          </w:tcPr>
          <w:p w14:paraId="77A117E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Senegal</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A1E036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C76182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24,4</w:t>
            </w:r>
          </w:p>
        </w:tc>
        <w:tc>
          <w:tcPr>
            <w:tcW w:w="990" w:type="dxa"/>
            <w:tcBorders>
              <w:top w:val="nil"/>
              <w:left w:val="nil"/>
              <w:bottom w:val="single" w:sz="4" w:space="0" w:color="FFFFFF" w:themeColor="background1"/>
              <w:right w:val="single" w:sz="4" w:space="0" w:color="FFFFFF" w:themeColor="background1"/>
            </w:tcBorders>
            <w:vAlign w:val="bottom"/>
            <w:hideMark/>
          </w:tcPr>
          <w:p w14:paraId="0988985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673" w:type="dxa"/>
            <w:tcBorders>
              <w:top w:val="nil"/>
              <w:left w:val="nil"/>
              <w:bottom w:val="single" w:sz="4" w:space="0" w:color="FFFFFF" w:themeColor="background1"/>
              <w:right w:val="single" w:sz="4" w:space="0" w:color="auto"/>
            </w:tcBorders>
            <w:noWrap/>
            <w:vAlign w:val="bottom"/>
            <w:hideMark/>
          </w:tcPr>
          <w:p w14:paraId="5849CA5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-99,8</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1E3C8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A85B0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752,9</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5C50E1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657,8</w:t>
            </w:r>
          </w:p>
        </w:tc>
        <w:tc>
          <w:tcPr>
            <w:tcW w:w="673" w:type="dxa"/>
            <w:tcBorders>
              <w:top w:val="nil"/>
              <w:left w:val="nil"/>
              <w:bottom w:val="single" w:sz="4" w:space="0" w:color="FFFFFF" w:themeColor="background1"/>
              <w:right w:val="nil"/>
            </w:tcBorders>
            <w:noWrap/>
            <w:vAlign w:val="bottom"/>
            <w:hideMark/>
          </w:tcPr>
          <w:p w14:paraId="63BA240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704152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1.114.857,6</w:t>
            </w:r>
          </w:p>
        </w:tc>
      </w:tr>
      <w:tr w:rsidR="005323F9" w14:paraId="760F26E1" w14:textId="77777777" w:rsidTr="005323F9">
        <w:tc>
          <w:tcPr>
            <w:tcW w:w="1303" w:type="dxa"/>
            <w:tcBorders>
              <w:top w:val="nil"/>
              <w:left w:val="single" w:sz="4" w:space="0" w:color="auto"/>
              <w:bottom w:val="single" w:sz="4" w:space="0" w:color="FFFFFF" w:themeColor="background1"/>
              <w:right w:val="nil"/>
            </w:tcBorders>
            <w:vAlign w:val="bottom"/>
            <w:hideMark/>
          </w:tcPr>
          <w:p w14:paraId="7B522E5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Saudi-Arabien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AC9333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3BDF2C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5,0</w:t>
            </w:r>
          </w:p>
        </w:tc>
        <w:tc>
          <w:tcPr>
            <w:tcW w:w="990" w:type="dxa"/>
            <w:tcBorders>
              <w:top w:val="nil"/>
              <w:left w:val="nil"/>
              <w:bottom w:val="single" w:sz="4" w:space="0" w:color="FFFFFF" w:themeColor="background1"/>
              <w:right w:val="single" w:sz="4" w:space="0" w:color="FFFFFF" w:themeColor="background1"/>
            </w:tcBorders>
            <w:vAlign w:val="bottom"/>
            <w:hideMark/>
          </w:tcPr>
          <w:p w14:paraId="1917D8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c>
          <w:tcPr>
            <w:tcW w:w="673" w:type="dxa"/>
            <w:tcBorders>
              <w:top w:val="nil"/>
              <w:left w:val="nil"/>
              <w:bottom w:val="single" w:sz="4" w:space="0" w:color="FFFFFF" w:themeColor="background1"/>
              <w:right w:val="single" w:sz="4" w:space="0" w:color="auto"/>
            </w:tcBorders>
            <w:noWrap/>
            <w:vAlign w:val="bottom"/>
            <w:hideMark/>
          </w:tcPr>
          <w:p w14:paraId="42E894C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-91,7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FA114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18EDEE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645,4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10B24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630,9</w:t>
            </w:r>
          </w:p>
        </w:tc>
        <w:tc>
          <w:tcPr>
            <w:tcW w:w="673" w:type="dxa"/>
            <w:tcBorders>
              <w:top w:val="nil"/>
              <w:left w:val="nil"/>
              <w:bottom w:val="single" w:sz="4" w:space="0" w:color="FFFFFF" w:themeColor="background1"/>
              <w:right w:val="nil"/>
            </w:tcBorders>
            <w:noWrap/>
            <w:vAlign w:val="bottom"/>
            <w:hideMark/>
          </w:tcPr>
          <w:p w14:paraId="137CA7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045851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152.381,9</w:t>
            </w:r>
          </w:p>
        </w:tc>
      </w:tr>
      <w:tr w:rsidR="005323F9" w14:paraId="50949E16" w14:textId="77777777" w:rsidTr="005323F9">
        <w:tc>
          <w:tcPr>
            <w:tcW w:w="1303" w:type="dxa"/>
            <w:tcBorders>
              <w:top w:val="nil"/>
              <w:left w:val="single" w:sz="4" w:space="0" w:color="auto"/>
              <w:bottom w:val="single" w:sz="4" w:space="0" w:color="FFFFFF" w:themeColor="background1"/>
              <w:right w:val="nil"/>
            </w:tcBorders>
            <w:vAlign w:val="bottom"/>
            <w:hideMark/>
          </w:tcPr>
          <w:p w14:paraId="3E53850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Hong Kong</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523C1D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7D08D4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4.890,9</w:t>
            </w:r>
          </w:p>
        </w:tc>
        <w:tc>
          <w:tcPr>
            <w:tcW w:w="990" w:type="dxa"/>
            <w:tcBorders>
              <w:top w:val="nil"/>
              <w:left w:val="nil"/>
              <w:bottom w:val="single" w:sz="4" w:space="0" w:color="FFFFFF" w:themeColor="background1"/>
              <w:right w:val="single" w:sz="4" w:space="0" w:color="FFFFFF" w:themeColor="background1"/>
            </w:tcBorders>
            <w:vAlign w:val="bottom"/>
            <w:hideMark/>
          </w:tcPr>
          <w:p w14:paraId="46C8C8C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602,4</w:t>
            </w:r>
          </w:p>
        </w:tc>
        <w:tc>
          <w:tcPr>
            <w:tcW w:w="673" w:type="dxa"/>
            <w:tcBorders>
              <w:top w:val="nil"/>
              <w:left w:val="nil"/>
              <w:bottom w:val="single" w:sz="4" w:space="0" w:color="FFFFFF" w:themeColor="background1"/>
              <w:right w:val="single" w:sz="4" w:space="0" w:color="auto"/>
            </w:tcBorders>
            <w:noWrap/>
            <w:vAlign w:val="bottom"/>
            <w:hideMark/>
          </w:tcPr>
          <w:p w14:paraId="1FCAD73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3AFA59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4712DD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699,2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4F82E4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593,8</w:t>
            </w:r>
          </w:p>
        </w:tc>
        <w:tc>
          <w:tcPr>
            <w:tcW w:w="673" w:type="dxa"/>
            <w:tcBorders>
              <w:top w:val="nil"/>
              <w:left w:val="nil"/>
              <w:bottom w:val="single" w:sz="4" w:space="0" w:color="FFFFFF" w:themeColor="background1"/>
              <w:right w:val="nil"/>
            </w:tcBorders>
            <w:noWrap/>
            <w:vAlign w:val="bottom"/>
            <w:hideMark/>
          </w:tcPr>
          <w:p w14:paraId="0013405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D98237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98,6</w:t>
            </w:r>
          </w:p>
        </w:tc>
      </w:tr>
      <w:tr w:rsidR="005323F9" w14:paraId="7AD63799" w14:textId="77777777" w:rsidTr="005323F9">
        <w:tc>
          <w:tcPr>
            <w:tcW w:w="1303" w:type="dxa"/>
            <w:tcBorders>
              <w:top w:val="nil"/>
              <w:left w:val="single" w:sz="4" w:space="0" w:color="auto"/>
              <w:bottom w:val="single" w:sz="4" w:space="0" w:color="FFFFFF" w:themeColor="background1"/>
              <w:right w:val="nil"/>
            </w:tcBorders>
            <w:vAlign w:val="bottom"/>
            <w:hideMark/>
          </w:tcPr>
          <w:p w14:paraId="7081992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Indien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6DDE50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w:t>
            </w:r>
          </w:p>
        </w:tc>
        <w:tc>
          <w:tcPr>
            <w:tcW w:w="990" w:type="dxa"/>
            <w:tcBorders>
              <w:top w:val="nil"/>
              <w:left w:val="nil"/>
              <w:bottom w:val="single" w:sz="4" w:space="0" w:color="FFFFFF" w:themeColor="background1"/>
              <w:right w:val="single" w:sz="4" w:space="0" w:color="FFFFFF" w:themeColor="background1"/>
            </w:tcBorders>
            <w:vAlign w:val="bottom"/>
            <w:hideMark/>
          </w:tcPr>
          <w:p w14:paraId="79A838A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16.761,0</w:t>
            </w:r>
          </w:p>
        </w:tc>
        <w:tc>
          <w:tcPr>
            <w:tcW w:w="990" w:type="dxa"/>
            <w:tcBorders>
              <w:top w:val="nil"/>
              <w:left w:val="nil"/>
              <w:bottom w:val="single" w:sz="4" w:space="0" w:color="FFFFFF" w:themeColor="background1"/>
              <w:right w:val="single" w:sz="4" w:space="0" w:color="FFFFFF" w:themeColor="background1"/>
            </w:tcBorders>
            <w:vAlign w:val="bottom"/>
            <w:hideMark/>
          </w:tcPr>
          <w:p w14:paraId="459222D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22.334,7</w:t>
            </w:r>
          </w:p>
        </w:tc>
        <w:tc>
          <w:tcPr>
            <w:tcW w:w="673" w:type="dxa"/>
            <w:tcBorders>
              <w:top w:val="nil"/>
              <w:left w:val="nil"/>
              <w:bottom w:val="single" w:sz="4" w:space="0" w:color="FFFFFF" w:themeColor="background1"/>
              <w:right w:val="single" w:sz="4" w:space="0" w:color="auto"/>
            </w:tcBorders>
            <w:noWrap/>
            <w:vAlign w:val="bottom"/>
            <w:hideMark/>
          </w:tcPr>
          <w:p w14:paraId="124FEA6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EE11A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CBA2F5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196,3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DB63D9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564,0</w:t>
            </w:r>
          </w:p>
        </w:tc>
        <w:tc>
          <w:tcPr>
            <w:tcW w:w="673" w:type="dxa"/>
            <w:tcBorders>
              <w:top w:val="nil"/>
              <w:left w:val="nil"/>
              <w:bottom w:val="single" w:sz="4" w:space="0" w:color="FFFFFF" w:themeColor="background1"/>
              <w:right w:val="nil"/>
            </w:tcBorders>
            <w:noWrap/>
            <w:vAlign w:val="bottom"/>
            <w:hideMark/>
          </w:tcPr>
          <w:p w14:paraId="6365E42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187,4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6EDC6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w:t>
            </w:r>
          </w:p>
        </w:tc>
      </w:tr>
      <w:tr w:rsidR="005323F9" w14:paraId="7E425D50" w14:textId="77777777" w:rsidTr="005323F9">
        <w:tc>
          <w:tcPr>
            <w:tcW w:w="1303" w:type="dxa"/>
            <w:tcBorders>
              <w:top w:val="nil"/>
              <w:left w:val="single" w:sz="4" w:space="0" w:color="auto"/>
              <w:bottom w:val="single" w:sz="4" w:space="0" w:color="FFFFFF" w:themeColor="background1"/>
              <w:right w:val="nil"/>
            </w:tcBorders>
            <w:vAlign w:val="bottom"/>
            <w:hideMark/>
          </w:tcPr>
          <w:p w14:paraId="071FEC7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Island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EBF125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32FFC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2F0299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6279329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E97B5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D127BD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677,7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92614D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550,5</w:t>
            </w:r>
          </w:p>
        </w:tc>
        <w:tc>
          <w:tcPr>
            <w:tcW w:w="673" w:type="dxa"/>
            <w:tcBorders>
              <w:top w:val="nil"/>
              <w:left w:val="nil"/>
              <w:bottom w:val="single" w:sz="4" w:space="0" w:color="FFFFFF" w:themeColor="background1"/>
              <w:right w:val="nil"/>
            </w:tcBorders>
            <w:noWrap/>
            <w:vAlign w:val="bottom"/>
            <w:hideMark/>
          </w:tcPr>
          <w:p w14:paraId="54FB44D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68BDA4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0CE5E932" w14:textId="77777777" w:rsidTr="005323F9">
        <w:tc>
          <w:tcPr>
            <w:tcW w:w="1303" w:type="dxa"/>
            <w:tcBorders>
              <w:top w:val="nil"/>
              <w:left w:val="single" w:sz="4" w:space="0" w:color="auto"/>
              <w:bottom w:val="single" w:sz="4" w:space="0" w:color="FFFFFF" w:themeColor="background1"/>
              <w:right w:val="nil"/>
            </w:tcBorders>
            <w:vAlign w:val="bottom"/>
            <w:hideMark/>
          </w:tcPr>
          <w:p w14:paraId="5302BFB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lastRenderedPageBreak/>
              <w:t>Libanon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B82DBA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6306FC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271,5</w:t>
            </w:r>
          </w:p>
        </w:tc>
        <w:tc>
          <w:tcPr>
            <w:tcW w:w="990" w:type="dxa"/>
            <w:tcBorders>
              <w:top w:val="nil"/>
              <w:left w:val="nil"/>
              <w:bottom w:val="single" w:sz="4" w:space="0" w:color="FFFFFF" w:themeColor="background1"/>
              <w:right w:val="single" w:sz="4" w:space="0" w:color="FFFFFF" w:themeColor="background1"/>
            </w:tcBorders>
            <w:vAlign w:val="bottom"/>
            <w:hideMark/>
          </w:tcPr>
          <w:p w14:paraId="1B3CF9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423,1</w:t>
            </w:r>
          </w:p>
        </w:tc>
        <w:tc>
          <w:tcPr>
            <w:tcW w:w="673" w:type="dxa"/>
            <w:tcBorders>
              <w:top w:val="nil"/>
              <w:left w:val="nil"/>
              <w:bottom w:val="single" w:sz="4" w:space="0" w:color="FFFFFF" w:themeColor="background1"/>
              <w:right w:val="single" w:sz="4" w:space="0" w:color="auto"/>
            </w:tcBorders>
            <w:noWrap/>
            <w:vAlign w:val="bottom"/>
            <w:hideMark/>
          </w:tcPr>
          <w:p w14:paraId="0D3457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55,8</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BFEB51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576577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323,4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805A8A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544,4</w:t>
            </w:r>
          </w:p>
        </w:tc>
        <w:tc>
          <w:tcPr>
            <w:tcW w:w="673" w:type="dxa"/>
            <w:tcBorders>
              <w:top w:val="nil"/>
              <w:left w:val="nil"/>
              <w:bottom w:val="single" w:sz="4" w:space="0" w:color="FFFFFF" w:themeColor="background1"/>
              <w:right w:val="nil"/>
            </w:tcBorders>
            <w:noWrap/>
            <w:vAlign w:val="bottom"/>
            <w:hideMark/>
          </w:tcPr>
          <w:p w14:paraId="5C24BCC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86B06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128,7</w:t>
            </w:r>
          </w:p>
        </w:tc>
      </w:tr>
      <w:tr w:rsidR="005323F9" w14:paraId="64AEAB3E" w14:textId="77777777" w:rsidTr="005323F9">
        <w:tc>
          <w:tcPr>
            <w:tcW w:w="1303" w:type="dxa"/>
            <w:tcBorders>
              <w:top w:val="nil"/>
              <w:left w:val="single" w:sz="4" w:space="0" w:color="auto"/>
              <w:bottom w:val="single" w:sz="4" w:space="0" w:color="FFFFFF" w:themeColor="background1"/>
              <w:right w:val="nil"/>
            </w:tcBorders>
            <w:vAlign w:val="bottom"/>
            <w:hideMark/>
          </w:tcPr>
          <w:p w14:paraId="6B2FE49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Thailand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760CB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c>
          <w:tcPr>
            <w:tcW w:w="990" w:type="dxa"/>
            <w:tcBorders>
              <w:top w:val="nil"/>
              <w:left w:val="nil"/>
              <w:bottom w:val="single" w:sz="4" w:space="0" w:color="FFFFFF" w:themeColor="background1"/>
              <w:right w:val="single" w:sz="4" w:space="0" w:color="FFFFFF" w:themeColor="background1"/>
            </w:tcBorders>
            <w:vAlign w:val="bottom"/>
            <w:hideMark/>
          </w:tcPr>
          <w:p w14:paraId="4760174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4.200,4</w:t>
            </w:r>
          </w:p>
        </w:tc>
        <w:tc>
          <w:tcPr>
            <w:tcW w:w="990" w:type="dxa"/>
            <w:tcBorders>
              <w:top w:val="nil"/>
              <w:left w:val="nil"/>
              <w:bottom w:val="single" w:sz="4" w:space="0" w:color="FFFFFF" w:themeColor="background1"/>
              <w:right w:val="single" w:sz="4" w:space="0" w:color="FFFFFF" w:themeColor="background1"/>
            </w:tcBorders>
            <w:vAlign w:val="bottom"/>
            <w:hideMark/>
          </w:tcPr>
          <w:p w14:paraId="4C6AD28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5.352,1</w:t>
            </w:r>
          </w:p>
        </w:tc>
        <w:tc>
          <w:tcPr>
            <w:tcW w:w="673" w:type="dxa"/>
            <w:tcBorders>
              <w:top w:val="nil"/>
              <w:left w:val="nil"/>
              <w:bottom w:val="single" w:sz="4" w:space="0" w:color="FFFFFF" w:themeColor="background1"/>
              <w:right w:val="single" w:sz="4" w:space="0" w:color="auto"/>
            </w:tcBorders>
            <w:noWrap/>
            <w:vAlign w:val="bottom"/>
            <w:hideMark/>
          </w:tcPr>
          <w:p w14:paraId="391B013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C0AB76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22BDA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406,7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77D08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542,4</w:t>
            </w:r>
          </w:p>
        </w:tc>
        <w:tc>
          <w:tcPr>
            <w:tcW w:w="673" w:type="dxa"/>
            <w:tcBorders>
              <w:top w:val="nil"/>
              <w:left w:val="nil"/>
              <w:bottom w:val="single" w:sz="4" w:space="0" w:color="FFFFFF" w:themeColor="background1"/>
              <w:right w:val="nil"/>
            </w:tcBorders>
            <w:noWrap/>
            <w:vAlign w:val="bottom"/>
            <w:hideMark/>
          </w:tcPr>
          <w:p w14:paraId="62BE17F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1AA132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10,1</w:t>
            </w:r>
          </w:p>
        </w:tc>
      </w:tr>
      <w:tr w:rsidR="005323F9" w14:paraId="74804B95" w14:textId="77777777" w:rsidTr="005323F9">
        <w:tc>
          <w:tcPr>
            <w:tcW w:w="1303" w:type="dxa"/>
            <w:tcBorders>
              <w:top w:val="nil"/>
              <w:left w:val="single" w:sz="4" w:space="0" w:color="auto"/>
              <w:bottom w:val="single" w:sz="4" w:space="0" w:color="FFFFFF" w:themeColor="background1"/>
              <w:right w:val="nil"/>
            </w:tcBorders>
            <w:vAlign w:val="bottom"/>
            <w:hideMark/>
          </w:tcPr>
          <w:p w14:paraId="1BEC5A1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Brasilien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548114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0,3</w:t>
            </w:r>
          </w:p>
        </w:tc>
        <w:tc>
          <w:tcPr>
            <w:tcW w:w="990" w:type="dxa"/>
            <w:tcBorders>
              <w:top w:val="nil"/>
              <w:left w:val="nil"/>
              <w:bottom w:val="single" w:sz="4" w:space="0" w:color="FFFFFF" w:themeColor="background1"/>
              <w:right w:val="single" w:sz="4" w:space="0" w:color="FFFFFF" w:themeColor="background1"/>
            </w:tcBorders>
            <w:vAlign w:val="bottom"/>
            <w:hideMark/>
          </w:tcPr>
          <w:p w14:paraId="48CB6EC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703,4</w:t>
            </w:r>
          </w:p>
        </w:tc>
        <w:tc>
          <w:tcPr>
            <w:tcW w:w="990" w:type="dxa"/>
            <w:tcBorders>
              <w:top w:val="nil"/>
              <w:left w:val="nil"/>
              <w:bottom w:val="single" w:sz="4" w:space="0" w:color="FFFFFF" w:themeColor="background1"/>
              <w:right w:val="single" w:sz="4" w:space="0" w:color="FFFFFF" w:themeColor="background1"/>
            </w:tcBorders>
            <w:vAlign w:val="bottom"/>
            <w:hideMark/>
          </w:tcPr>
          <w:p w14:paraId="3F6521D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4.055,4</w:t>
            </w:r>
          </w:p>
        </w:tc>
        <w:tc>
          <w:tcPr>
            <w:tcW w:w="673" w:type="dxa"/>
            <w:tcBorders>
              <w:top w:val="nil"/>
              <w:left w:val="nil"/>
              <w:bottom w:val="single" w:sz="4" w:space="0" w:color="FFFFFF" w:themeColor="background1"/>
              <w:right w:val="single" w:sz="4" w:space="0" w:color="auto"/>
            </w:tcBorders>
            <w:noWrap/>
            <w:vAlign w:val="bottom"/>
            <w:hideMark/>
          </w:tcPr>
          <w:p w14:paraId="25D0A16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476,6</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FCDCEC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5819B2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3.750,4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82912B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517,5</w:t>
            </w:r>
          </w:p>
        </w:tc>
        <w:tc>
          <w:tcPr>
            <w:tcW w:w="673" w:type="dxa"/>
            <w:tcBorders>
              <w:top w:val="nil"/>
              <w:left w:val="nil"/>
              <w:bottom w:val="single" w:sz="4" w:space="0" w:color="FFFFFF" w:themeColor="background1"/>
              <w:right w:val="nil"/>
            </w:tcBorders>
            <w:noWrap/>
            <w:vAlign w:val="bottom"/>
            <w:hideMark/>
          </w:tcPr>
          <w:p w14:paraId="5AC096A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-86,2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96075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12,8</w:t>
            </w:r>
          </w:p>
        </w:tc>
      </w:tr>
      <w:tr w:rsidR="005323F9" w14:paraId="37B131E0" w14:textId="77777777" w:rsidTr="005323F9">
        <w:tc>
          <w:tcPr>
            <w:tcW w:w="1303" w:type="dxa"/>
            <w:tcBorders>
              <w:top w:val="nil"/>
              <w:left w:val="single" w:sz="4" w:space="0" w:color="auto"/>
              <w:bottom w:val="single" w:sz="4" w:space="0" w:color="FFFFFF" w:themeColor="background1"/>
              <w:right w:val="nil"/>
            </w:tcBorders>
            <w:vAlign w:val="bottom"/>
            <w:hideMark/>
          </w:tcPr>
          <w:p w14:paraId="78E079B4"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Ghana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6A9E1D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E4A64F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990" w:type="dxa"/>
            <w:tcBorders>
              <w:top w:val="nil"/>
              <w:left w:val="nil"/>
              <w:bottom w:val="single" w:sz="4" w:space="0" w:color="FFFFFF" w:themeColor="background1"/>
              <w:right w:val="single" w:sz="4" w:space="0" w:color="FFFFFF" w:themeColor="background1"/>
            </w:tcBorders>
            <w:vAlign w:val="bottom"/>
            <w:hideMark/>
          </w:tcPr>
          <w:p w14:paraId="170FA8A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w:t>
            </w:r>
          </w:p>
        </w:tc>
        <w:tc>
          <w:tcPr>
            <w:tcW w:w="673" w:type="dxa"/>
            <w:tcBorders>
              <w:top w:val="nil"/>
              <w:left w:val="nil"/>
              <w:bottom w:val="single" w:sz="4" w:space="0" w:color="FFFFFF" w:themeColor="background1"/>
              <w:right w:val="single" w:sz="4" w:space="0" w:color="auto"/>
            </w:tcBorders>
            <w:noWrap/>
            <w:vAlign w:val="bottom"/>
            <w:hideMark/>
          </w:tcPr>
          <w:p w14:paraId="4EC6CBF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1.590,2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B8C8C4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9EDE1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533,5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5DD7DB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430,0</w:t>
            </w:r>
          </w:p>
        </w:tc>
        <w:tc>
          <w:tcPr>
            <w:tcW w:w="673" w:type="dxa"/>
            <w:tcBorders>
              <w:top w:val="nil"/>
              <w:left w:val="nil"/>
              <w:bottom w:val="single" w:sz="4" w:space="0" w:color="FFFFFF" w:themeColor="background1"/>
              <w:right w:val="nil"/>
            </w:tcBorders>
            <w:noWrap/>
            <w:vAlign w:val="bottom"/>
            <w:hideMark/>
          </w:tcPr>
          <w:p w14:paraId="2D2D931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87125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14.622,3</w:t>
            </w:r>
          </w:p>
        </w:tc>
      </w:tr>
      <w:tr w:rsidR="005323F9" w14:paraId="1EDB3AAE" w14:textId="77777777" w:rsidTr="005323F9">
        <w:tc>
          <w:tcPr>
            <w:tcW w:w="1303" w:type="dxa"/>
            <w:tcBorders>
              <w:top w:val="nil"/>
              <w:left w:val="single" w:sz="4" w:space="0" w:color="auto"/>
              <w:bottom w:val="single" w:sz="4" w:space="0" w:color="FFFFFF" w:themeColor="background1"/>
              <w:right w:val="nil"/>
            </w:tcBorders>
            <w:vAlign w:val="bottom"/>
            <w:hideMark/>
          </w:tcPr>
          <w:p w14:paraId="23D3209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Guinea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596F0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A90FF8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7A69CF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7DE0131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849E42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5C3657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332,2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4178A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423,7</w:t>
            </w:r>
          </w:p>
        </w:tc>
        <w:tc>
          <w:tcPr>
            <w:tcW w:w="673" w:type="dxa"/>
            <w:tcBorders>
              <w:top w:val="nil"/>
              <w:left w:val="nil"/>
              <w:bottom w:val="single" w:sz="4" w:space="0" w:color="FFFFFF" w:themeColor="background1"/>
              <w:right w:val="nil"/>
            </w:tcBorders>
            <w:noWrap/>
            <w:vAlign w:val="bottom"/>
            <w:hideMark/>
          </w:tcPr>
          <w:p w14:paraId="6632B46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23FA6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14.124.200,0</w:t>
            </w:r>
          </w:p>
        </w:tc>
      </w:tr>
      <w:tr w:rsidR="005323F9" w14:paraId="42CC67F5" w14:textId="77777777" w:rsidTr="005323F9">
        <w:tc>
          <w:tcPr>
            <w:tcW w:w="1303" w:type="dxa"/>
            <w:tcBorders>
              <w:top w:val="nil"/>
              <w:left w:val="single" w:sz="4" w:space="0" w:color="auto"/>
              <w:bottom w:val="single" w:sz="4" w:space="0" w:color="FFFFFF" w:themeColor="background1"/>
              <w:right w:val="nil"/>
            </w:tcBorders>
            <w:vAlign w:val="bottom"/>
            <w:hideMark/>
          </w:tcPr>
          <w:p w14:paraId="5B66D7DC"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Georgien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3740B0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5D8124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D4184C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4590C55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DEEEFF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278EFB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120,5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491D5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349,1</w:t>
            </w:r>
          </w:p>
        </w:tc>
        <w:tc>
          <w:tcPr>
            <w:tcW w:w="673" w:type="dxa"/>
            <w:tcBorders>
              <w:top w:val="nil"/>
              <w:left w:val="nil"/>
              <w:bottom w:val="single" w:sz="4" w:space="0" w:color="FFFFFF" w:themeColor="background1"/>
              <w:right w:val="nil"/>
            </w:tcBorders>
            <w:noWrap/>
            <w:vAlign w:val="bottom"/>
            <w:hideMark/>
          </w:tcPr>
          <w:p w14:paraId="49BFAB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189,7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91CD9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2B2C97B4" w14:textId="77777777" w:rsidTr="005323F9">
        <w:tc>
          <w:tcPr>
            <w:tcW w:w="1303" w:type="dxa"/>
            <w:tcBorders>
              <w:top w:val="nil"/>
              <w:left w:val="single" w:sz="4" w:space="0" w:color="auto"/>
              <w:bottom w:val="single" w:sz="4" w:space="0" w:color="FFFFFF" w:themeColor="background1"/>
              <w:right w:val="nil"/>
            </w:tcBorders>
            <w:vAlign w:val="bottom"/>
            <w:hideMark/>
          </w:tcPr>
          <w:p w14:paraId="36BCF64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Indonesien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A41A8B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4,5</w:t>
            </w:r>
          </w:p>
        </w:tc>
        <w:tc>
          <w:tcPr>
            <w:tcW w:w="990" w:type="dxa"/>
            <w:tcBorders>
              <w:top w:val="nil"/>
              <w:left w:val="nil"/>
              <w:bottom w:val="single" w:sz="4" w:space="0" w:color="FFFFFF" w:themeColor="background1"/>
              <w:right w:val="single" w:sz="4" w:space="0" w:color="FFFFFF" w:themeColor="background1"/>
            </w:tcBorders>
            <w:vAlign w:val="bottom"/>
            <w:hideMark/>
          </w:tcPr>
          <w:p w14:paraId="13F2259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44.124,0</w:t>
            </w:r>
          </w:p>
        </w:tc>
        <w:tc>
          <w:tcPr>
            <w:tcW w:w="990" w:type="dxa"/>
            <w:tcBorders>
              <w:top w:val="nil"/>
              <w:left w:val="nil"/>
              <w:bottom w:val="single" w:sz="4" w:space="0" w:color="FFFFFF" w:themeColor="background1"/>
              <w:right w:val="single" w:sz="4" w:space="0" w:color="FFFFFF" w:themeColor="background1"/>
            </w:tcBorders>
            <w:vAlign w:val="bottom"/>
            <w:hideMark/>
          </w:tcPr>
          <w:p w14:paraId="4B97B7D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66.695,0</w:t>
            </w:r>
          </w:p>
        </w:tc>
        <w:tc>
          <w:tcPr>
            <w:tcW w:w="673" w:type="dxa"/>
            <w:tcBorders>
              <w:top w:val="nil"/>
              <w:left w:val="nil"/>
              <w:bottom w:val="single" w:sz="4" w:space="0" w:color="FFFFFF" w:themeColor="background1"/>
              <w:right w:val="single" w:sz="4" w:space="0" w:color="auto"/>
            </w:tcBorders>
            <w:noWrap/>
            <w:vAlign w:val="bottom"/>
            <w:hideMark/>
          </w:tcPr>
          <w:p w14:paraId="167390B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A8464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41F94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238,7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AA081D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291,8</w:t>
            </w:r>
          </w:p>
        </w:tc>
        <w:tc>
          <w:tcPr>
            <w:tcW w:w="673" w:type="dxa"/>
            <w:tcBorders>
              <w:top w:val="nil"/>
              <w:left w:val="nil"/>
              <w:bottom w:val="single" w:sz="4" w:space="0" w:color="FFFFFF" w:themeColor="background1"/>
              <w:right w:val="nil"/>
            </w:tcBorders>
            <w:noWrap/>
            <w:vAlign w:val="bottom"/>
            <w:hideMark/>
          </w:tcPr>
          <w:p w14:paraId="7AA0FA6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CB231C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r>
      <w:tr w:rsidR="005323F9" w14:paraId="091754CA" w14:textId="77777777" w:rsidTr="005323F9">
        <w:tc>
          <w:tcPr>
            <w:tcW w:w="1303" w:type="dxa"/>
            <w:tcBorders>
              <w:top w:val="nil"/>
              <w:left w:val="single" w:sz="4" w:space="0" w:color="auto"/>
              <w:bottom w:val="single" w:sz="4" w:space="0" w:color="FFFFFF" w:themeColor="background1"/>
              <w:right w:val="nil"/>
            </w:tcBorders>
            <w:vAlign w:val="bottom"/>
            <w:hideMark/>
          </w:tcPr>
          <w:p w14:paraId="68C4AA4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Katar</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BC485F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D53FBF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9F720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5893B3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552BB9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1F333D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688,7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A17E05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288,5</w:t>
            </w:r>
          </w:p>
        </w:tc>
        <w:tc>
          <w:tcPr>
            <w:tcW w:w="673" w:type="dxa"/>
            <w:tcBorders>
              <w:top w:val="nil"/>
              <w:left w:val="nil"/>
              <w:bottom w:val="single" w:sz="4" w:space="0" w:color="FFFFFF" w:themeColor="background1"/>
              <w:right w:val="nil"/>
            </w:tcBorders>
            <w:noWrap/>
            <w:vAlign w:val="bottom"/>
            <w:hideMark/>
          </w:tcPr>
          <w:p w14:paraId="71058C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-58,1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CE21A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1EDE0716" w14:textId="77777777" w:rsidTr="005323F9">
        <w:tc>
          <w:tcPr>
            <w:tcW w:w="1303" w:type="dxa"/>
            <w:tcBorders>
              <w:top w:val="nil"/>
              <w:left w:val="single" w:sz="4" w:space="0" w:color="auto"/>
              <w:bottom w:val="single" w:sz="4" w:space="0" w:color="FFFFFF" w:themeColor="background1"/>
              <w:right w:val="nil"/>
            </w:tcBorders>
            <w:vAlign w:val="bottom"/>
            <w:hideMark/>
          </w:tcPr>
          <w:p w14:paraId="5F1C7D0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Russland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2F495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C11D5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59,3</w:t>
            </w:r>
          </w:p>
        </w:tc>
        <w:tc>
          <w:tcPr>
            <w:tcW w:w="990" w:type="dxa"/>
            <w:tcBorders>
              <w:top w:val="nil"/>
              <w:left w:val="nil"/>
              <w:bottom w:val="single" w:sz="4" w:space="0" w:color="FFFFFF" w:themeColor="background1"/>
              <w:right w:val="single" w:sz="4" w:space="0" w:color="FFFFFF" w:themeColor="background1"/>
            </w:tcBorders>
            <w:vAlign w:val="bottom"/>
            <w:hideMark/>
          </w:tcPr>
          <w:p w14:paraId="33342C4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180,0</w:t>
            </w:r>
          </w:p>
        </w:tc>
        <w:tc>
          <w:tcPr>
            <w:tcW w:w="673" w:type="dxa"/>
            <w:tcBorders>
              <w:top w:val="nil"/>
              <w:left w:val="nil"/>
              <w:bottom w:val="single" w:sz="4" w:space="0" w:color="FFFFFF" w:themeColor="background1"/>
              <w:right w:val="single" w:sz="4" w:space="0" w:color="auto"/>
            </w:tcBorders>
            <w:noWrap/>
            <w:vAlign w:val="bottom"/>
            <w:hideMark/>
          </w:tcPr>
          <w:p w14:paraId="739471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203,3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0C1A2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F837A0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887,7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1EDA94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277,9</w:t>
            </w:r>
          </w:p>
        </w:tc>
        <w:tc>
          <w:tcPr>
            <w:tcW w:w="673" w:type="dxa"/>
            <w:tcBorders>
              <w:top w:val="nil"/>
              <w:left w:val="nil"/>
              <w:bottom w:val="single" w:sz="4" w:space="0" w:color="FFFFFF" w:themeColor="background1"/>
              <w:right w:val="nil"/>
            </w:tcBorders>
            <w:noWrap/>
            <w:vAlign w:val="bottom"/>
            <w:hideMark/>
          </w:tcPr>
          <w:p w14:paraId="0584B6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F55850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154,4</w:t>
            </w:r>
          </w:p>
        </w:tc>
      </w:tr>
      <w:tr w:rsidR="005323F9" w14:paraId="2A6D3DBA" w14:textId="77777777" w:rsidTr="005323F9">
        <w:tc>
          <w:tcPr>
            <w:tcW w:w="1303" w:type="dxa"/>
            <w:tcBorders>
              <w:top w:val="nil"/>
              <w:left w:val="single" w:sz="4" w:space="0" w:color="auto"/>
              <w:bottom w:val="single" w:sz="4" w:space="0" w:color="FFFFFF" w:themeColor="background1"/>
              <w:right w:val="nil"/>
            </w:tcBorders>
            <w:vAlign w:val="bottom"/>
            <w:hideMark/>
          </w:tcPr>
          <w:p w14:paraId="46C295C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Türkei</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1F8FBB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3,6</w:t>
            </w:r>
          </w:p>
        </w:tc>
        <w:tc>
          <w:tcPr>
            <w:tcW w:w="990" w:type="dxa"/>
            <w:tcBorders>
              <w:top w:val="nil"/>
              <w:left w:val="nil"/>
              <w:bottom w:val="single" w:sz="4" w:space="0" w:color="FFFFFF" w:themeColor="background1"/>
              <w:right w:val="single" w:sz="4" w:space="0" w:color="FFFFFF" w:themeColor="background1"/>
            </w:tcBorders>
            <w:vAlign w:val="bottom"/>
            <w:hideMark/>
          </w:tcPr>
          <w:p w14:paraId="37DE529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55.661,9</w:t>
            </w:r>
          </w:p>
        </w:tc>
        <w:tc>
          <w:tcPr>
            <w:tcW w:w="990" w:type="dxa"/>
            <w:tcBorders>
              <w:top w:val="nil"/>
              <w:left w:val="nil"/>
              <w:bottom w:val="single" w:sz="4" w:space="0" w:color="FFFFFF" w:themeColor="background1"/>
              <w:right w:val="single" w:sz="4" w:space="0" w:color="FFFFFF" w:themeColor="background1"/>
            </w:tcBorders>
            <w:vAlign w:val="bottom"/>
            <w:hideMark/>
          </w:tcPr>
          <w:p w14:paraId="6712FE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53.455,7</w:t>
            </w:r>
          </w:p>
        </w:tc>
        <w:tc>
          <w:tcPr>
            <w:tcW w:w="673" w:type="dxa"/>
            <w:tcBorders>
              <w:top w:val="nil"/>
              <w:left w:val="nil"/>
              <w:bottom w:val="single" w:sz="4" w:space="0" w:color="FFFFFF" w:themeColor="background1"/>
              <w:right w:val="single" w:sz="4" w:space="0" w:color="auto"/>
            </w:tcBorders>
            <w:noWrap/>
            <w:vAlign w:val="bottom"/>
            <w:hideMark/>
          </w:tcPr>
          <w:p w14:paraId="5EBCAB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707BCF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EE965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408,5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ADF90A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256,7</w:t>
            </w:r>
          </w:p>
        </w:tc>
        <w:tc>
          <w:tcPr>
            <w:tcW w:w="673" w:type="dxa"/>
            <w:tcBorders>
              <w:top w:val="nil"/>
              <w:left w:val="nil"/>
              <w:bottom w:val="single" w:sz="4" w:space="0" w:color="FFFFFF" w:themeColor="background1"/>
              <w:right w:val="nil"/>
            </w:tcBorders>
            <w:noWrap/>
            <w:vAlign w:val="bottom"/>
            <w:hideMark/>
          </w:tcPr>
          <w:p w14:paraId="1DBCA55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920CD3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r>
      <w:tr w:rsidR="005323F9" w14:paraId="47405FD9" w14:textId="77777777" w:rsidTr="005323F9">
        <w:tc>
          <w:tcPr>
            <w:tcW w:w="1303" w:type="dxa"/>
            <w:tcBorders>
              <w:top w:val="nil"/>
              <w:left w:val="single" w:sz="4" w:space="0" w:color="auto"/>
              <w:bottom w:val="single" w:sz="4" w:space="0" w:color="FFFFFF" w:themeColor="background1"/>
              <w:right w:val="nil"/>
            </w:tcBorders>
            <w:vAlign w:val="bottom"/>
            <w:hideMark/>
          </w:tcPr>
          <w:p w14:paraId="3BE5C96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Taiwan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96B93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2EF3AE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1.344,1</w:t>
            </w:r>
          </w:p>
        </w:tc>
        <w:tc>
          <w:tcPr>
            <w:tcW w:w="990" w:type="dxa"/>
            <w:tcBorders>
              <w:top w:val="nil"/>
              <w:left w:val="nil"/>
              <w:bottom w:val="single" w:sz="4" w:space="0" w:color="FFFFFF" w:themeColor="background1"/>
              <w:right w:val="single" w:sz="4" w:space="0" w:color="FFFFFF" w:themeColor="background1"/>
            </w:tcBorders>
            <w:vAlign w:val="bottom"/>
            <w:hideMark/>
          </w:tcPr>
          <w:p w14:paraId="55870C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1.792,5</w:t>
            </w:r>
          </w:p>
        </w:tc>
        <w:tc>
          <w:tcPr>
            <w:tcW w:w="673" w:type="dxa"/>
            <w:tcBorders>
              <w:top w:val="nil"/>
              <w:left w:val="nil"/>
              <w:bottom w:val="single" w:sz="4" w:space="0" w:color="FFFFFF" w:themeColor="background1"/>
              <w:right w:val="single" w:sz="4" w:space="0" w:color="auto"/>
            </w:tcBorders>
            <w:noWrap/>
            <w:vAlign w:val="bottom"/>
            <w:hideMark/>
          </w:tcPr>
          <w:p w14:paraId="38E4480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8ACCB5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802111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575,0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25762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245,2</w:t>
            </w:r>
          </w:p>
        </w:tc>
        <w:tc>
          <w:tcPr>
            <w:tcW w:w="673" w:type="dxa"/>
            <w:tcBorders>
              <w:top w:val="nil"/>
              <w:left w:val="nil"/>
              <w:bottom w:val="single" w:sz="4" w:space="0" w:color="FFFFFF" w:themeColor="background1"/>
              <w:right w:val="nil"/>
            </w:tcBorders>
            <w:noWrap/>
            <w:vAlign w:val="bottom"/>
            <w:hideMark/>
          </w:tcPr>
          <w:p w14:paraId="7D5A32E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-57,4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85F33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13,7</w:t>
            </w:r>
          </w:p>
        </w:tc>
      </w:tr>
      <w:tr w:rsidR="005323F9" w14:paraId="56A1B45B" w14:textId="77777777" w:rsidTr="005323F9">
        <w:tc>
          <w:tcPr>
            <w:tcW w:w="1303" w:type="dxa"/>
            <w:tcBorders>
              <w:top w:val="nil"/>
              <w:left w:val="single" w:sz="4" w:space="0" w:color="auto"/>
              <w:bottom w:val="single" w:sz="4" w:space="0" w:color="FFFFFF" w:themeColor="background1"/>
              <w:right w:val="nil"/>
            </w:tcBorders>
            <w:vAlign w:val="bottom"/>
            <w:hideMark/>
          </w:tcPr>
          <w:p w14:paraId="0BA9F53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Südafrika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231936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2F0AE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142,6</w:t>
            </w:r>
          </w:p>
        </w:tc>
        <w:tc>
          <w:tcPr>
            <w:tcW w:w="990" w:type="dxa"/>
            <w:tcBorders>
              <w:top w:val="nil"/>
              <w:left w:val="nil"/>
              <w:bottom w:val="single" w:sz="4" w:space="0" w:color="FFFFFF" w:themeColor="background1"/>
              <w:right w:val="single" w:sz="4" w:space="0" w:color="FFFFFF" w:themeColor="background1"/>
            </w:tcBorders>
            <w:vAlign w:val="bottom"/>
            <w:hideMark/>
          </w:tcPr>
          <w:p w14:paraId="365EC8E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51,2</w:t>
            </w:r>
          </w:p>
        </w:tc>
        <w:tc>
          <w:tcPr>
            <w:tcW w:w="673" w:type="dxa"/>
            <w:tcBorders>
              <w:top w:val="nil"/>
              <w:left w:val="nil"/>
              <w:bottom w:val="single" w:sz="4" w:space="0" w:color="FFFFFF" w:themeColor="background1"/>
              <w:right w:val="single" w:sz="4" w:space="0" w:color="auto"/>
            </w:tcBorders>
            <w:noWrap/>
            <w:vAlign w:val="bottom"/>
            <w:hideMark/>
          </w:tcPr>
          <w:p w14:paraId="6D4D536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A8667D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149BA6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721,8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481F1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227,2</w:t>
            </w:r>
          </w:p>
        </w:tc>
        <w:tc>
          <w:tcPr>
            <w:tcW w:w="673" w:type="dxa"/>
            <w:tcBorders>
              <w:top w:val="nil"/>
              <w:left w:val="nil"/>
              <w:bottom w:val="single" w:sz="4" w:space="0" w:color="FFFFFF" w:themeColor="background1"/>
              <w:right w:val="nil"/>
            </w:tcBorders>
            <w:noWrap/>
            <w:vAlign w:val="bottom"/>
            <w:hideMark/>
          </w:tcPr>
          <w:p w14:paraId="281384B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FD76DF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444,1</w:t>
            </w:r>
          </w:p>
        </w:tc>
      </w:tr>
      <w:tr w:rsidR="005323F9" w14:paraId="4D1F2D76" w14:textId="77777777" w:rsidTr="005323F9">
        <w:tc>
          <w:tcPr>
            <w:tcW w:w="1303" w:type="dxa"/>
            <w:tcBorders>
              <w:top w:val="nil"/>
              <w:left w:val="single" w:sz="4" w:space="0" w:color="auto"/>
              <w:bottom w:val="single" w:sz="4" w:space="0" w:color="FFFFFF" w:themeColor="background1"/>
              <w:right w:val="nil"/>
            </w:tcBorders>
            <w:vAlign w:val="bottom"/>
            <w:hideMark/>
          </w:tcPr>
          <w:p w14:paraId="1490DFE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Jordanien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4EB4AE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1A58EE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w:t>
            </w:r>
          </w:p>
        </w:tc>
        <w:tc>
          <w:tcPr>
            <w:tcW w:w="990" w:type="dxa"/>
            <w:tcBorders>
              <w:top w:val="nil"/>
              <w:left w:val="nil"/>
              <w:bottom w:val="single" w:sz="4" w:space="0" w:color="FFFFFF" w:themeColor="background1"/>
              <w:right w:val="single" w:sz="4" w:space="0" w:color="FFFFFF" w:themeColor="background1"/>
            </w:tcBorders>
            <w:vAlign w:val="bottom"/>
            <w:hideMark/>
          </w:tcPr>
          <w:p w14:paraId="67673D7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w:t>
            </w:r>
          </w:p>
        </w:tc>
        <w:tc>
          <w:tcPr>
            <w:tcW w:w="673" w:type="dxa"/>
            <w:tcBorders>
              <w:top w:val="nil"/>
              <w:left w:val="nil"/>
              <w:bottom w:val="single" w:sz="4" w:space="0" w:color="FFFFFF" w:themeColor="background1"/>
              <w:right w:val="single" w:sz="4" w:space="0" w:color="auto"/>
            </w:tcBorders>
            <w:noWrap/>
            <w:vAlign w:val="bottom"/>
            <w:hideMark/>
          </w:tcPr>
          <w:p w14:paraId="7EAD84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1C7AC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4241CC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135,2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870B22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226,9</w:t>
            </w:r>
          </w:p>
        </w:tc>
        <w:tc>
          <w:tcPr>
            <w:tcW w:w="673" w:type="dxa"/>
            <w:tcBorders>
              <w:top w:val="nil"/>
              <w:left w:val="nil"/>
              <w:bottom w:val="single" w:sz="4" w:space="0" w:color="FFFFFF" w:themeColor="background1"/>
              <w:right w:val="nil"/>
            </w:tcBorders>
            <w:noWrap/>
            <w:vAlign w:val="bottom"/>
            <w:hideMark/>
          </w:tcPr>
          <w:p w14:paraId="566F039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67,9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BE9A3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8.073,8</w:t>
            </w:r>
          </w:p>
        </w:tc>
      </w:tr>
      <w:tr w:rsidR="005323F9" w14:paraId="03373209" w14:textId="77777777" w:rsidTr="005323F9">
        <w:tc>
          <w:tcPr>
            <w:tcW w:w="1303" w:type="dxa"/>
            <w:tcBorders>
              <w:top w:val="nil"/>
              <w:left w:val="single" w:sz="4" w:space="0" w:color="auto"/>
              <w:bottom w:val="single" w:sz="4" w:space="0" w:color="FFFFFF" w:themeColor="background1"/>
              <w:right w:val="nil"/>
            </w:tcBorders>
            <w:vAlign w:val="bottom"/>
            <w:hideMark/>
          </w:tcPr>
          <w:p w14:paraId="401FE87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Chile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32562C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C4B9F2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w:t>
            </w:r>
          </w:p>
        </w:tc>
        <w:tc>
          <w:tcPr>
            <w:tcW w:w="990" w:type="dxa"/>
            <w:tcBorders>
              <w:top w:val="nil"/>
              <w:left w:val="nil"/>
              <w:bottom w:val="single" w:sz="4" w:space="0" w:color="FFFFFF" w:themeColor="background1"/>
              <w:right w:val="single" w:sz="4" w:space="0" w:color="FFFFFF" w:themeColor="background1"/>
            </w:tcBorders>
            <w:vAlign w:val="bottom"/>
            <w:hideMark/>
          </w:tcPr>
          <w:p w14:paraId="2C253E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w:t>
            </w:r>
          </w:p>
        </w:tc>
        <w:tc>
          <w:tcPr>
            <w:tcW w:w="673" w:type="dxa"/>
            <w:tcBorders>
              <w:top w:val="nil"/>
              <w:left w:val="nil"/>
              <w:bottom w:val="single" w:sz="4" w:space="0" w:color="FFFFFF" w:themeColor="background1"/>
              <w:right w:val="single" w:sz="4" w:space="0" w:color="auto"/>
            </w:tcBorders>
            <w:noWrap/>
            <w:vAlign w:val="bottom"/>
            <w:hideMark/>
          </w:tcPr>
          <w:p w14:paraId="2BD71DD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-46,0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6A01AE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734849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107,8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4CFF7D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211,9</w:t>
            </w:r>
          </w:p>
        </w:tc>
        <w:tc>
          <w:tcPr>
            <w:tcW w:w="673" w:type="dxa"/>
            <w:tcBorders>
              <w:top w:val="nil"/>
              <w:left w:val="nil"/>
              <w:bottom w:val="single" w:sz="4" w:space="0" w:color="FFFFFF" w:themeColor="background1"/>
              <w:right w:val="nil"/>
            </w:tcBorders>
            <w:noWrap/>
            <w:vAlign w:val="bottom"/>
            <w:hideMark/>
          </w:tcPr>
          <w:p w14:paraId="2962C7B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96,6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D95B46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16.525,8</w:t>
            </w:r>
          </w:p>
        </w:tc>
      </w:tr>
      <w:tr w:rsidR="005323F9" w14:paraId="66AB6639" w14:textId="77777777" w:rsidTr="005323F9">
        <w:tc>
          <w:tcPr>
            <w:tcW w:w="1303" w:type="dxa"/>
            <w:tcBorders>
              <w:top w:val="nil"/>
              <w:left w:val="single" w:sz="4" w:space="0" w:color="auto"/>
              <w:bottom w:val="single" w:sz="4" w:space="0" w:color="FFFFFF" w:themeColor="background1"/>
              <w:right w:val="nil"/>
            </w:tcBorders>
            <w:vAlign w:val="bottom"/>
            <w:hideMark/>
          </w:tcPr>
          <w:p w14:paraId="7787297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Elfenbeinküste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74F45F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73B6C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0,6</w:t>
            </w:r>
          </w:p>
        </w:tc>
        <w:tc>
          <w:tcPr>
            <w:tcW w:w="990" w:type="dxa"/>
            <w:tcBorders>
              <w:top w:val="nil"/>
              <w:left w:val="nil"/>
              <w:bottom w:val="single" w:sz="4" w:space="0" w:color="FFFFFF" w:themeColor="background1"/>
              <w:right w:val="single" w:sz="4" w:space="0" w:color="FFFFFF" w:themeColor="background1"/>
            </w:tcBorders>
            <w:vAlign w:val="bottom"/>
            <w:hideMark/>
          </w:tcPr>
          <w:p w14:paraId="1DB289B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6,8</w:t>
            </w:r>
          </w:p>
        </w:tc>
        <w:tc>
          <w:tcPr>
            <w:tcW w:w="673" w:type="dxa"/>
            <w:tcBorders>
              <w:top w:val="nil"/>
              <w:left w:val="nil"/>
              <w:bottom w:val="single" w:sz="4" w:space="0" w:color="FFFFFF" w:themeColor="background1"/>
              <w:right w:val="single" w:sz="4" w:space="0" w:color="auto"/>
            </w:tcBorders>
            <w:noWrap/>
            <w:vAlign w:val="bottom"/>
            <w:hideMark/>
          </w:tcPr>
          <w:p w14:paraId="655AED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1.121,3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C5FD3A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346FBD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520,8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538490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209,8</w:t>
            </w:r>
          </w:p>
        </w:tc>
        <w:tc>
          <w:tcPr>
            <w:tcW w:w="673" w:type="dxa"/>
            <w:tcBorders>
              <w:top w:val="nil"/>
              <w:left w:val="nil"/>
              <w:bottom w:val="single" w:sz="4" w:space="0" w:color="FFFFFF" w:themeColor="background1"/>
              <w:right w:val="nil"/>
            </w:tcBorders>
            <w:noWrap/>
            <w:vAlign w:val="bottom"/>
            <w:hideMark/>
          </w:tcPr>
          <w:p w14:paraId="1B56C7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B34E1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3.068,0</w:t>
            </w:r>
          </w:p>
        </w:tc>
      </w:tr>
      <w:tr w:rsidR="005323F9" w14:paraId="2CC4FC64" w14:textId="77777777" w:rsidTr="005323F9">
        <w:tc>
          <w:tcPr>
            <w:tcW w:w="1303" w:type="dxa"/>
            <w:tcBorders>
              <w:top w:val="nil"/>
              <w:left w:val="single" w:sz="4" w:space="0" w:color="auto"/>
              <w:bottom w:val="single" w:sz="4" w:space="0" w:color="FFFFFF" w:themeColor="background1"/>
              <w:right w:val="nil"/>
            </w:tcBorders>
            <w:vAlign w:val="bottom"/>
            <w:hideMark/>
          </w:tcPr>
          <w:p w14:paraId="587D8E1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Gabun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3C206F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591109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93522F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168ABEC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3C5FE2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DB530C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211,7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B1C5A9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196,2</w:t>
            </w:r>
          </w:p>
        </w:tc>
        <w:tc>
          <w:tcPr>
            <w:tcW w:w="673" w:type="dxa"/>
            <w:tcBorders>
              <w:top w:val="nil"/>
              <w:left w:val="nil"/>
              <w:bottom w:val="single" w:sz="4" w:space="0" w:color="FFFFFF" w:themeColor="background1"/>
              <w:right w:val="nil"/>
            </w:tcBorders>
            <w:noWrap/>
            <w:vAlign w:val="bottom"/>
            <w:hideMark/>
          </w:tcPr>
          <w:p w14:paraId="39CC441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-7,3</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C5C52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79A879FC" w14:textId="77777777" w:rsidTr="005323F9">
        <w:tc>
          <w:tcPr>
            <w:tcW w:w="1303" w:type="dxa"/>
            <w:tcBorders>
              <w:top w:val="nil"/>
              <w:left w:val="single" w:sz="4" w:space="0" w:color="auto"/>
              <w:bottom w:val="single" w:sz="4" w:space="0" w:color="FFFFFF" w:themeColor="background1"/>
              <w:right w:val="nil"/>
            </w:tcBorders>
            <w:vAlign w:val="bottom"/>
            <w:hideMark/>
          </w:tcPr>
          <w:p w14:paraId="1C13546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Costa Rica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C98F51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2FF43C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5D7192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w:t>
            </w:r>
          </w:p>
        </w:tc>
        <w:tc>
          <w:tcPr>
            <w:tcW w:w="673" w:type="dxa"/>
            <w:tcBorders>
              <w:top w:val="nil"/>
              <w:left w:val="nil"/>
              <w:bottom w:val="single" w:sz="4" w:space="0" w:color="FFFFFF" w:themeColor="background1"/>
              <w:right w:val="single" w:sz="4" w:space="0" w:color="auto"/>
            </w:tcBorders>
            <w:noWrap/>
            <w:vAlign w:val="bottom"/>
            <w:hideMark/>
          </w:tcPr>
          <w:p w14:paraId="77EBF4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21F6B0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A59EA6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68212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186,5</w:t>
            </w:r>
          </w:p>
        </w:tc>
        <w:tc>
          <w:tcPr>
            <w:tcW w:w="673" w:type="dxa"/>
            <w:tcBorders>
              <w:top w:val="nil"/>
              <w:left w:val="nil"/>
              <w:bottom w:val="single" w:sz="4" w:space="0" w:color="FFFFFF" w:themeColor="background1"/>
              <w:right w:val="nil"/>
            </w:tcBorders>
            <w:noWrap/>
            <w:vAlign w:val="bottom"/>
            <w:hideMark/>
          </w:tcPr>
          <w:p w14:paraId="270836C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801,1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12B6AA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14.730,6</w:t>
            </w:r>
          </w:p>
        </w:tc>
      </w:tr>
      <w:tr w:rsidR="005323F9" w14:paraId="0C8C6E95" w14:textId="77777777" w:rsidTr="005323F9">
        <w:tc>
          <w:tcPr>
            <w:tcW w:w="1303" w:type="dxa"/>
            <w:tcBorders>
              <w:top w:val="nil"/>
              <w:left w:val="single" w:sz="4" w:space="0" w:color="auto"/>
              <w:bottom w:val="single" w:sz="4" w:space="0" w:color="FFFFFF" w:themeColor="background1"/>
              <w:right w:val="nil"/>
            </w:tcBorders>
            <w:vAlign w:val="bottom"/>
            <w:hideMark/>
          </w:tcPr>
          <w:p w14:paraId="4F5CC48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Ägypten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4EBC6A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430F88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327,0</w:t>
            </w:r>
          </w:p>
        </w:tc>
        <w:tc>
          <w:tcPr>
            <w:tcW w:w="990" w:type="dxa"/>
            <w:tcBorders>
              <w:top w:val="nil"/>
              <w:left w:val="nil"/>
              <w:bottom w:val="single" w:sz="4" w:space="0" w:color="FFFFFF" w:themeColor="background1"/>
              <w:right w:val="single" w:sz="4" w:space="0" w:color="FFFFFF" w:themeColor="background1"/>
            </w:tcBorders>
            <w:vAlign w:val="bottom"/>
            <w:hideMark/>
          </w:tcPr>
          <w:p w14:paraId="75BBBA5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230,0</w:t>
            </w:r>
          </w:p>
        </w:tc>
        <w:tc>
          <w:tcPr>
            <w:tcW w:w="673" w:type="dxa"/>
            <w:tcBorders>
              <w:top w:val="nil"/>
              <w:left w:val="nil"/>
              <w:bottom w:val="single" w:sz="4" w:space="0" w:color="FFFFFF" w:themeColor="background1"/>
              <w:right w:val="single" w:sz="4" w:space="0" w:color="auto"/>
            </w:tcBorders>
            <w:noWrap/>
            <w:vAlign w:val="bottom"/>
            <w:hideMark/>
          </w:tcPr>
          <w:p w14:paraId="3DE8B79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3D896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700EA9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199,7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9340DA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177,2</w:t>
            </w:r>
          </w:p>
        </w:tc>
        <w:tc>
          <w:tcPr>
            <w:tcW w:w="673" w:type="dxa"/>
            <w:tcBorders>
              <w:top w:val="nil"/>
              <w:left w:val="nil"/>
              <w:bottom w:val="single" w:sz="4" w:space="0" w:color="FFFFFF" w:themeColor="background1"/>
              <w:right w:val="nil"/>
            </w:tcBorders>
            <w:noWrap/>
            <w:vAlign w:val="bottom"/>
            <w:hideMark/>
          </w:tcPr>
          <w:p w14:paraId="2CFC8A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-11,3</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F46DCA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77,0</w:t>
            </w:r>
          </w:p>
        </w:tc>
      </w:tr>
      <w:tr w:rsidR="005323F9" w14:paraId="6E628209" w14:textId="77777777" w:rsidTr="005323F9">
        <w:tc>
          <w:tcPr>
            <w:tcW w:w="1303" w:type="dxa"/>
            <w:tcBorders>
              <w:top w:val="nil"/>
              <w:left w:val="single" w:sz="4" w:space="0" w:color="auto"/>
              <w:bottom w:val="single" w:sz="4" w:space="0" w:color="FFFFFF" w:themeColor="background1"/>
              <w:right w:val="nil"/>
            </w:tcBorders>
            <w:vAlign w:val="bottom"/>
            <w:hideMark/>
          </w:tcPr>
          <w:p w14:paraId="027AF152"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Benin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1888A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E2A44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692FD6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700F370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2BEB1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8A3D16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69,8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FA42EE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172,7</w:t>
            </w:r>
          </w:p>
        </w:tc>
        <w:tc>
          <w:tcPr>
            <w:tcW w:w="673" w:type="dxa"/>
            <w:tcBorders>
              <w:top w:val="nil"/>
              <w:left w:val="nil"/>
              <w:bottom w:val="single" w:sz="4" w:space="0" w:color="FFFFFF" w:themeColor="background1"/>
              <w:right w:val="nil"/>
            </w:tcBorders>
            <w:noWrap/>
            <w:vAlign w:val="bottom"/>
            <w:hideMark/>
          </w:tcPr>
          <w:p w14:paraId="58A77A3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147,6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C08F31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788435A2" w14:textId="77777777" w:rsidTr="005323F9">
        <w:tc>
          <w:tcPr>
            <w:tcW w:w="1303" w:type="dxa"/>
            <w:tcBorders>
              <w:top w:val="nil"/>
              <w:left w:val="single" w:sz="4" w:space="0" w:color="auto"/>
              <w:bottom w:val="single" w:sz="4" w:space="0" w:color="FFFFFF" w:themeColor="background1"/>
              <w:right w:val="nil"/>
            </w:tcBorders>
            <w:vAlign w:val="bottom"/>
            <w:hideMark/>
          </w:tcPr>
          <w:p w14:paraId="5423747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Neuseeland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F3750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80E4D0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7AD5AE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153,6</w:t>
            </w:r>
          </w:p>
        </w:tc>
        <w:tc>
          <w:tcPr>
            <w:tcW w:w="673" w:type="dxa"/>
            <w:tcBorders>
              <w:top w:val="nil"/>
              <w:left w:val="nil"/>
              <w:bottom w:val="single" w:sz="4" w:space="0" w:color="FFFFFF" w:themeColor="background1"/>
              <w:right w:val="single" w:sz="4" w:space="0" w:color="auto"/>
            </w:tcBorders>
            <w:noWrap/>
            <w:vAlign w:val="bottom"/>
            <w:hideMark/>
          </w:tcPr>
          <w:p w14:paraId="708568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916FC2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1D3421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373,8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09B973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171,3</w:t>
            </w:r>
          </w:p>
        </w:tc>
        <w:tc>
          <w:tcPr>
            <w:tcW w:w="673" w:type="dxa"/>
            <w:tcBorders>
              <w:top w:val="nil"/>
              <w:left w:val="nil"/>
              <w:bottom w:val="single" w:sz="4" w:space="0" w:color="FFFFFF" w:themeColor="background1"/>
              <w:right w:val="nil"/>
            </w:tcBorders>
            <w:noWrap/>
            <w:vAlign w:val="bottom"/>
            <w:hideMark/>
          </w:tcPr>
          <w:p w14:paraId="1C04120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334B80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111,6</w:t>
            </w:r>
          </w:p>
        </w:tc>
      </w:tr>
      <w:tr w:rsidR="005323F9" w14:paraId="0528B55F" w14:textId="77777777" w:rsidTr="005323F9">
        <w:tc>
          <w:tcPr>
            <w:tcW w:w="1303" w:type="dxa"/>
            <w:tcBorders>
              <w:top w:val="nil"/>
              <w:left w:val="single" w:sz="4" w:space="0" w:color="auto"/>
              <w:bottom w:val="single" w:sz="4" w:space="0" w:color="FFFFFF" w:themeColor="background1"/>
              <w:right w:val="nil"/>
            </w:tcBorders>
            <w:vAlign w:val="bottom"/>
            <w:hideMark/>
          </w:tcPr>
          <w:p w14:paraId="030A934C"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Libyen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7C17F6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542A1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834532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1A67FDF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28739B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8BEB9F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7F0017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169,2</w:t>
            </w:r>
          </w:p>
        </w:tc>
        <w:tc>
          <w:tcPr>
            <w:tcW w:w="673" w:type="dxa"/>
            <w:tcBorders>
              <w:top w:val="nil"/>
              <w:left w:val="nil"/>
              <w:bottom w:val="single" w:sz="4" w:space="0" w:color="FFFFFF" w:themeColor="background1"/>
              <w:right w:val="nil"/>
            </w:tcBorders>
            <w:noWrap/>
            <w:vAlign w:val="bottom"/>
            <w:hideMark/>
          </w:tcPr>
          <w:p w14:paraId="1D74B41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645,0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12E38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1946957" w14:textId="77777777" w:rsidTr="005323F9">
        <w:tc>
          <w:tcPr>
            <w:tcW w:w="1303" w:type="dxa"/>
            <w:tcBorders>
              <w:top w:val="nil"/>
              <w:left w:val="single" w:sz="4" w:space="0" w:color="auto"/>
              <w:bottom w:val="single" w:sz="4" w:space="0" w:color="FFFFFF" w:themeColor="background1"/>
              <w:right w:val="nil"/>
            </w:tcBorders>
            <w:vAlign w:val="bottom"/>
            <w:hideMark/>
          </w:tcPr>
          <w:p w14:paraId="05C2B9E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Ruanda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A62BC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8DA85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240A0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1460B52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D12B51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1BA33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154,2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F5027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161,0</w:t>
            </w:r>
          </w:p>
        </w:tc>
        <w:tc>
          <w:tcPr>
            <w:tcW w:w="673" w:type="dxa"/>
            <w:tcBorders>
              <w:top w:val="nil"/>
              <w:left w:val="nil"/>
              <w:bottom w:val="single" w:sz="4" w:space="0" w:color="FFFFFF" w:themeColor="background1"/>
              <w:right w:val="nil"/>
            </w:tcBorders>
            <w:noWrap/>
            <w:vAlign w:val="bottom"/>
            <w:hideMark/>
          </w:tcPr>
          <w:p w14:paraId="50F55D7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01004C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37F753D" w14:textId="77777777" w:rsidTr="005323F9">
        <w:tc>
          <w:tcPr>
            <w:tcW w:w="1303" w:type="dxa"/>
            <w:tcBorders>
              <w:top w:val="nil"/>
              <w:left w:val="single" w:sz="4" w:space="0" w:color="auto"/>
              <w:bottom w:val="single" w:sz="4" w:space="0" w:color="FFFFFF" w:themeColor="background1"/>
              <w:right w:val="nil"/>
            </w:tcBorders>
            <w:vAlign w:val="bottom"/>
            <w:hideMark/>
          </w:tcPr>
          <w:p w14:paraId="2599EBA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Mexiko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CF300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170825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296,5</w:t>
            </w:r>
          </w:p>
        </w:tc>
        <w:tc>
          <w:tcPr>
            <w:tcW w:w="990" w:type="dxa"/>
            <w:tcBorders>
              <w:top w:val="nil"/>
              <w:left w:val="nil"/>
              <w:bottom w:val="single" w:sz="4" w:space="0" w:color="FFFFFF" w:themeColor="background1"/>
              <w:right w:val="single" w:sz="4" w:space="0" w:color="FFFFFF" w:themeColor="background1"/>
            </w:tcBorders>
            <w:vAlign w:val="bottom"/>
            <w:hideMark/>
          </w:tcPr>
          <w:p w14:paraId="444627F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169,9</w:t>
            </w:r>
          </w:p>
        </w:tc>
        <w:tc>
          <w:tcPr>
            <w:tcW w:w="673" w:type="dxa"/>
            <w:tcBorders>
              <w:top w:val="nil"/>
              <w:left w:val="nil"/>
              <w:bottom w:val="single" w:sz="4" w:space="0" w:color="FFFFFF" w:themeColor="background1"/>
              <w:right w:val="single" w:sz="4" w:space="0" w:color="auto"/>
            </w:tcBorders>
            <w:noWrap/>
            <w:vAlign w:val="bottom"/>
            <w:hideMark/>
          </w:tcPr>
          <w:p w14:paraId="5278041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-42,7</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141227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AD440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313,0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BAAAA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143,3</w:t>
            </w:r>
          </w:p>
        </w:tc>
        <w:tc>
          <w:tcPr>
            <w:tcW w:w="673" w:type="dxa"/>
            <w:tcBorders>
              <w:top w:val="nil"/>
              <w:left w:val="nil"/>
              <w:bottom w:val="single" w:sz="4" w:space="0" w:color="FFFFFF" w:themeColor="background1"/>
              <w:right w:val="nil"/>
            </w:tcBorders>
            <w:noWrap/>
            <w:vAlign w:val="bottom"/>
            <w:hideMark/>
          </w:tcPr>
          <w:p w14:paraId="3D5391C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A0B6DC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84,4</w:t>
            </w:r>
          </w:p>
        </w:tc>
      </w:tr>
      <w:tr w:rsidR="005323F9" w14:paraId="6FF9A4F3" w14:textId="77777777" w:rsidTr="005323F9">
        <w:tc>
          <w:tcPr>
            <w:tcW w:w="1303" w:type="dxa"/>
            <w:tcBorders>
              <w:top w:val="nil"/>
              <w:left w:val="single" w:sz="4" w:space="0" w:color="auto"/>
              <w:bottom w:val="single" w:sz="4" w:space="0" w:color="FFFFFF" w:themeColor="background1"/>
              <w:right w:val="nil"/>
            </w:tcBorders>
            <w:vAlign w:val="bottom"/>
            <w:hideMark/>
          </w:tcPr>
          <w:p w14:paraId="3BC167F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Nigeria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05BF7C6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E13477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4A8885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673" w:type="dxa"/>
            <w:tcBorders>
              <w:top w:val="nil"/>
              <w:left w:val="nil"/>
              <w:bottom w:val="single" w:sz="4" w:space="0" w:color="FFFFFF" w:themeColor="background1"/>
              <w:right w:val="single" w:sz="4" w:space="0" w:color="auto"/>
            </w:tcBorders>
            <w:noWrap/>
            <w:vAlign w:val="bottom"/>
            <w:hideMark/>
          </w:tcPr>
          <w:p w14:paraId="3083B76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8204BB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A05FFD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211,9</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334390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141,1</w:t>
            </w:r>
          </w:p>
        </w:tc>
        <w:tc>
          <w:tcPr>
            <w:tcW w:w="673" w:type="dxa"/>
            <w:tcBorders>
              <w:top w:val="nil"/>
              <w:left w:val="nil"/>
              <w:bottom w:val="single" w:sz="4" w:space="0" w:color="FFFFFF" w:themeColor="background1"/>
              <w:right w:val="nil"/>
            </w:tcBorders>
            <w:noWrap/>
            <w:vAlign w:val="bottom"/>
            <w:hideMark/>
          </w:tcPr>
          <w:p w14:paraId="357C0F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-33,4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36B21B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135.651,0</w:t>
            </w:r>
          </w:p>
        </w:tc>
      </w:tr>
      <w:tr w:rsidR="005323F9" w14:paraId="5289256B" w14:textId="77777777" w:rsidTr="005323F9">
        <w:tc>
          <w:tcPr>
            <w:tcW w:w="1303" w:type="dxa"/>
            <w:tcBorders>
              <w:top w:val="nil"/>
              <w:left w:val="single" w:sz="4" w:space="0" w:color="auto"/>
              <w:bottom w:val="single" w:sz="4" w:space="0" w:color="FFFFFF" w:themeColor="background1"/>
              <w:right w:val="nil"/>
            </w:tcBorders>
            <w:vAlign w:val="bottom"/>
            <w:hideMark/>
          </w:tcPr>
          <w:p w14:paraId="5739EA1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UK (Nordirland)</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3D6A99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D3588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9B17EB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3,1</w:t>
            </w:r>
          </w:p>
        </w:tc>
        <w:tc>
          <w:tcPr>
            <w:tcW w:w="673" w:type="dxa"/>
            <w:tcBorders>
              <w:top w:val="nil"/>
              <w:left w:val="nil"/>
              <w:bottom w:val="single" w:sz="4" w:space="0" w:color="FFFFFF" w:themeColor="background1"/>
              <w:right w:val="single" w:sz="4" w:space="0" w:color="auto"/>
            </w:tcBorders>
            <w:noWrap/>
            <w:vAlign w:val="bottom"/>
            <w:hideMark/>
          </w:tcPr>
          <w:p w14:paraId="395809F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182A1B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B81EB2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210,4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227079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125,8</w:t>
            </w:r>
          </w:p>
        </w:tc>
        <w:tc>
          <w:tcPr>
            <w:tcW w:w="673" w:type="dxa"/>
            <w:tcBorders>
              <w:top w:val="nil"/>
              <w:left w:val="nil"/>
              <w:bottom w:val="single" w:sz="4" w:space="0" w:color="FFFFFF" w:themeColor="background1"/>
              <w:right w:val="nil"/>
            </w:tcBorders>
            <w:noWrap/>
            <w:vAlign w:val="bottom"/>
            <w:hideMark/>
          </w:tcPr>
          <w:p w14:paraId="7E5A27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39E7F5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4.065,9</w:t>
            </w:r>
          </w:p>
        </w:tc>
      </w:tr>
      <w:tr w:rsidR="005323F9" w14:paraId="5FB6F2A2" w14:textId="77777777" w:rsidTr="005323F9">
        <w:tc>
          <w:tcPr>
            <w:tcW w:w="1303" w:type="dxa"/>
            <w:tcBorders>
              <w:top w:val="nil"/>
              <w:left w:val="single" w:sz="4" w:space="0" w:color="auto"/>
              <w:bottom w:val="single" w:sz="4" w:space="0" w:color="FFFFFF" w:themeColor="background1"/>
              <w:right w:val="nil"/>
            </w:tcBorders>
            <w:vAlign w:val="bottom"/>
            <w:hideMark/>
          </w:tcPr>
          <w:p w14:paraId="726D65C4"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Burkina Faso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9E5FF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78C547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15,0</w:t>
            </w:r>
          </w:p>
        </w:tc>
        <w:tc>
          <w:tcPr>
            <w:tcW w:w="990" w:type="dxa"/>
            <w:tcBorders>
              <w:top w:val="nil"/>
              <w:left w:val="nil"/>
              <w:bottom w:val="single" w:sz="4" w:space="0" w:color="FFFFFF" w:themeColor="background1"/>
              <w:right w:val="single" w:sz="4" w:space="0" w:color="FFFFFF" w:themeColor="background1"/>
            </w:tcBorders>
            <w:vAlign w:val="bottom"/>
            <w:hideMark/>
          </w:tcPr>
          <w:p w14:paraId="1D926E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7,0</w:t>
            </w:r>
          </w:p>
        </w:tc>
        <w:tc>
          <w:tcPr>
            <w:tcW w:w="673" w:type="dxa"/>
            <w:tcBorders>
              <w:top w:val="nil"/>
              <w:left w:val="nil"/>
              <w:bottom w:val="single" w:sz="4" w:space="0" w:color="FFFFFF" w:themeColor="background1"/>
              <w:right w:val="single" w:sz="4" w:space="0" w:color="auto"/>
            </w:tcBorders>
            <w:noWrap/>
            <w:vAlign w:val="bottom"/>
            <w:hideMark/>
          </w:tcPr>
          <w:p w14:paraId="15B50A1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-53,5</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D5169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73BD19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CE542B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122,0</w:t>
            </w:r>
          </w:p>
        </w:tc>
        <w:tc>
          <w:tcPr>
            <w:tcW w:w="673" w:type="dxa"/>
            <w:tcBorders>
              <w:top w:val="nil"/>
              <w:left w:val="nil"/>
              <w:bottom w:val="single" w:sz="4" w:space="0" w:color="FFFFFF" w:themeColor="background1"/>
              <w:right w:val="nil"/>
            </w:tcBorders>
            <w:noWrap/>
            <w:vAlign w:val="bottom"/>
            <w:hideMark/>
          </w:tcPr>
          <w:p w14:paraId="323D0F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200,0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B8170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1.748,7</w:t>
            </w:r>
          </w:p>
        </w:tc>
      </w:tr>
      <w:tr w:rsidR="005323F9" w14:paraId="20871BFB" w14:textId="77777777" w:rsidTr="005323F9">
        <w:tc>
          <w:tcPr>
            <w:tcW w:w="1303" w:type="dxa"/>
            <w:tcBorders>
              <w:top w:val="nil"/>
              <w:left w:val="single" w:sz="4" w:space="0" w:color="auto"/>
              <w:bottom w:val="single" w:sz="4" w:space="0" w:color="FFFFFF" w:themeColor="background1"/>
              <w:right w:val="nil"/>
            </w:tcBorders>
            <w:vAlign w:val="bottom"/>
            <w:hideMark/>
          </w:tcPr>
          <w:p w14:paraId="0887127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Serbien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0DCEC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0,6</w:t>
            </w:r>
          </w:p>
        </w:tc>
        <w:tc>
          <w:tcPr>
            <w:tcW w:w="990" w:type="dxa"/>
            <w:tcBorders>
              <w:top w:val="nil"/>
              <w:left w:val="nil"/>
              <w:bottom w:val="single" w:sz="4" w:space="0" w:color="FFFFFF" w:themeColor="background1"/>
              <w:right w:val="single" w:sz="4" w:space="0" w:color="FFFFFF" w:themeColor="background1"/>
            </w:tcBorders>
            <w:vAlign w:val="bottom"/>
            <w:hideMark/>
          </w:tcPr>
          <w:p w14:paraId="766AA37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6.171,5</w:t>
            </w:r>
          </w:p>
        </w:tc>
        <w:tc>
          <w:tcPr>
            <w:tcW w:w="990" w:type="dxa"/>
            <w:tcBorders>
              <w:top w:val="nil"/>
              <w:left w:val="nil"/>
              <w:bottom w:val="single" w:sz="4" w:space="0" w:color="FFFFFF" w:themeColor="background1"/>
              <w:right w:val="single" w:sz="4" w:space="0" w:color="FFFFFF" w:themeColor="background1"/>
            </w:tcBorders>
            <w:vAlign w:val="bottom"/>
            <w:hideMark/>
          </w:tcPr>
          <w:p w14:paraId="740E4E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8.173,5</w:t>
            </w:r>
          </w:p>
        </w:tc>
        <w:tc>
          <w:tcPr>
            <w:tcW w:w="673" w:type="dxa"/>
            <w:tcBorders>
              <w:top w:val="nil"/>
              <w:left w:val="nil"/>
              <w:bottom w:val="single" w:sz="4" w:space="0" w:color="FFFFFF" w:themeColor="background1"/>
              <w:right w:val="single" w:sz="4" w:space="0" w:color="auto"/>
            </w:tcBorders>
            <w:noWrap/>
            <w:vAlign w:val="bottom"/>
            <w:hideMark/>
          </w:tcPr>
          <w:p w14:paraId="63D8BE9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D14053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418D37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103,3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77556D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102,2</w:t>
            </w:r>
          </w:p>
        </w:tc>
        <w:tc>
          <w:tcPr>
            <w:tcW w:w="673" w:type="dxa"/>
            <w:tcBorders>
              <w:top w:val="nil"/>
              <w:left w:val="nil"/>
              <w:bottom w:val="single" w:sz="4" w:space="0" w:color="FFFFFF" w:themeColor="background1"/>
              <w:right w:val="nil"/>
            </w:tcBorders>
            <w:noWrap/>
            <w:vAlign w:val="bottom"/>
            <w:hideMark/>
          </w:tcPr>
          <w:p w14:paraId="4B9080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1AE8D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w:t>
            </w:r>
          </w:p>
        </w:tc>
      </w:tr>
      <w:tr w:rsidR="005323F9" w14:paraId="238C8E76" w14:textId="77777777" w:rsidTr="005323F9">
        <w:tc>
          <w:tcPr>
            <w:tcW w:w="1303" w:type="dxa"/>
            <w:tcBorders>
              <w:top w:val="nil"/>
              <w:left w:val="single" w:sz="4" w:space="0" w:color="auto"/>
              <w:bottom w:val="single" w:sz="4" w:space="0" w:color="FFFFFF" w:themeColor="background1"/>
              <w:right w:val="nil"/>
            </w:tcBorders>
            <w:vAlign w:val="bottom"/>
            <w:hideMark/>
          </w:tcPr>
          <w:p w14:paraId="7A493B1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Angola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66C8FB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DD309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430686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6022A80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C945E7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2F80FB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278,6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17F79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100,3</w:t>
            </w:r>
          </w:p>
        </w:tc>
        <w:tc>
          <w:tcPr>
            <w:tcW w:w="673" w:type="dxa"/>
            <w:tcBorders>
              <w:top w:val="nil"/>
              <w:left w:val="nil"/>
              <w:bottom w:val="single" w:sz="4" w:space="0" w:color="FFFFFF" w:themeColor="background1"/>
              <w:right w:val="nil"/>
            </w:tcBorders>
            <w:noWrap/>
            <w:vAlign w:val="bottom"/>
            <w:hideMark/>
          </w:tcPr>
          <w:p w14:paraId="62729E0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62243ED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55D20482" w14:textId="77777777" w:rsidTr="005323F9">
        <w:tc>
          <w:tcPr>
            <w:tcW w:w="1303" w:type="dxa"/>
            <w:tcBorders>
              <w:top w:val="nil"/>
              <w:left w:val="single" w:sz="4" w:space="0" w:color="auto"/>
              <w:bottom w:val="single" w:sz="4" w:space="0" w:color="FFFFFF" w:themeColor="background1"/>
              <w:right w:val="nil"/>
            </w:tcBorders>
            <w:vAlign w:val="bottom"/>
            <w:hideMark/>
          </w:tcPr>
          <w:p w14:paraId="6242071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Mali</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A17602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DD0FE6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5BD8D4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673" w:type="dxa"/>
            <w:tcBorders>
              <w:top w:val="nil"/>
              <w:left w:val="nil"/>
              <w:bottom w:val="single" w:sz="4" w:space="0" w:color="FFFFFF" w:themeColor="background1"/>
              <w:right w:val="single" w:sz="4" w:space="0" w:color="auto"/>
            </w:tcBorders>
            <w:noWrap/>
            <w:vAlign w:val="bottom"/>
            <w:hideMark/>
          </w:tcPr>
          <w:p w14:paraId="73E1323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150FB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ABBA75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30,1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C0FA65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99,9</w:t>
            </w:r>
          </w:p>
        </w:tc>
        <w:tc>
          <w:tcPr>
            <w:tcW w:w="673" w:type="dxa"/>
            <w:tcBorders>
              <w:top w:val="nil"/>
              <w:left w:val="nil"/>
              <w:bottom w:val="single" w:sz="4" w:space="0" w:color="FFFFFF" w:themeColor="background1"/>
              <w:right w:val="nil"/>
            </w:tcBorders>
            <w:noWrap/>
            <w:vAlign w:val="bottom"/>
            <w:hideMark/>
          </w:tcPr>
          <w:p w14:paraId="0F6D73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232,0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501818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46.247,2</w:t>
            </w:r>
          </w:p>
        </w:tc>
      </w:tr>
      <w:tr w:rsidR="005323F9" w14:paraId="0BFF60CA" w14:textId="77777777" w:rsidTr="005323F9">
        <w:tc>
          <w:tcPr>
            <w:tcW w:w="1303" w:type="dxa"/>
            <w:tcBorders>
              <w:top w:val="nil"/>
              <w:left w:val="single" w:sz="4" w:space="0" w:color="auto"/>
              <w:bottom w:val="single" w:sz="4" w:space="0" w:color="FFFFFF" w:themeColor="background1"/>
              <w:right w:val="nil"/>
            </w:tcBorders>
            <w:vAlign w:val="bottom"/>
            <w:hideMark/>
          </w:tcPr>
          <w:p w14:paraId="7503D68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Kenia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F4ACB9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3706C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B06952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673" w:type="dxa"/>
            <w:tcBorders>
              <w:top w:val="nil"/>
              <w:left w:val="nil"/>
              <w:bottom w:val="single" w:sz="4" w:space="0" w:color="FFFFFF" w:themeColor="background1"/>
              <w:right w:val="single" w:sz="4" w:space="0" w:color="auto"/>
            </w:tcBorders>
            <w:noWrap/>
            <w:vAlign w:val="bottom"/>
            <w:hideMark/>
          </w:tcPr>
          <w:p w14:paraId="76958EC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29341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64025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172,4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5E7508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94,4</w:t>
            </w:r>
          </w:p>
        </w:tc>
        <w:tc>
          <w:tcPr>
            <w:tcW w:w="673" w:type="dxa"/>
            <w:tcBorders>
              <w:top w:val="nil"/>
              <w:left w:val="nil"/>
              <w:bottom w:val="single" w:sz="4" w:space="0" w:color="FFFFFF" w:themeColor="background1"/>
              <w:right w:val="nil"/>
            </w:tcBorders>
            <w:noWrap/>
            <w:vAlign w:val="bottom"/>
            <w:hideMark/>
          </w:tcPr>
          <w:p w14:paraId="36095E2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-45,2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06CE0F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88.215,9</w:t>
            </w:r>
          </w:p>
        </w:tc>
      </w:tr>
      <w:tr w:rsidR="005323F9" w14:paraId="5A501A3A" w14:textId="77777777" w:rsidTr="005323F9">
        <w:tc>
          <w:tcPr>
            <w:tcW w:w="1303" w:type="dxa"/>
            <w:tcBorders>
              <w:top w:val="nil"/>
              <w:left w:val="single" w:sz="4" w:space="0" w:color="auto"/>
              <w:bottom w:val="single" w:sz="4" w:space="0" w:color="FFFFFF" w:themeColor="background1"/>
              <w:right w:val="nil"/>
            </w:tcBorders>
            <w:vAlign w:val="bottom"/>
            <w:hideMark/>
          </w:tcPr>
          <w:p w14:paraId="5F30DEE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Mauritius</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0E5171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FB4BEC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7406B87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40DFC2F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346480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A4622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102,1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FA214B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92,4</w:t>
            </w:r>
          </w:p>
        </w:tc>
        <w:tc>
          <w:tcPr>
            <w:tcW w:w="673" w:type="dxa"/>
            <w:tcBorders>
              <w:top w:val="nil"/>
              <w:left w:val="nil"/>
              <w:bottom w:val="single" w:sz="4" w:space="0" w:color="FFFFFF" w:themeColor="background1"/>
              <w:right w:val="nil"/>
            </w:tcBorders>
            <w:noWrap/>
            <w:vAlign w:val="bottom"/>
            <w:hideMark/>
          </w:tcPr>
          <w:p w14:paraId="5802A2A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825B9A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669FEA23" w14:textId="77777777" w:rsidTr="005323F9">
        <w:tc>
          <w:tcPr>
            <w:tcW w:w="1303" w:type="dxa"/>
            <w:tcBorders>
              <w:top w:val="nil"/>
              <w:left w:val="single" w:sz="4" w:space="0" w:color="auto"/>
              <w:bottom w:val="single" w:sz="4" w:space="0" w:color="FFFFFF" w:themeColor="background1"/>
              <w:right w:val="nil"/>
            </w:tcBorders>
            <w:vAlign w:val="bottom"/>
            <w:hideMark/>
          </w:tcPr>
          <w:p w14:paraId="4E0B05E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Bermuda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7EE38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905C7B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DCACC7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0,2</w:t>
            </w:r>
          </w:p>
        </w:tc>
        <w:tc>
          <w:tcPr>
            <w:tcW w:w="673" w:type="dxa"/>
            <w:tcBorders>
              <w:top w:val="nil"/>
              <w:left w:val="nil"/>
              <w:bottom w:val="single" w:sz="4" w:space="0" w:color="FFFFFF" w:themeColor="background1"/>
              <w:right w:val="single" w:sz="4" w:space="0" w:color="auto"/>
            </w:tcBorders>
            <w:noWrap/>
            <w:vAlign w:val="bottom"/>
            <w:hideMark/>
          </w:tcPr>
          <w:p w14:paraId="48137C3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E90917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B2A1D8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9BBE24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87,3</w:t>
            </w:r>
          </w:p>
        </w:tc>
        <w:tc>
          <w:tcPr>
            <w:tcW w:w="673" w:type="dxa"/>
            <w:tcBorders>
              <w:top w:val="nil"/>
              <w:left w:val="nil"/>
              <w:bottom w:val="single" w:sz="4" w:space="0" w:color="FFFFFF" w:themeColor="background1"/>
              <w:right w:val="nil"/>
            </w:tcBorders>
            <w:noWrap/>
            <w:vAlign w:val="bottom"/>
            <w:hideMark/>
          </w:tcPr>
          <w:p w14:paraId="57E522B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C71038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37.140,4</w:t>
            </w:r>
          </w:p>
        </w:tc>
      </w:tr>
      <w:tr w:rsidR="005323F9" w14:paraId="1AFA58AB" w14:textId="77777777" w:rsidTr="005323F9">
        <w:tc>
          <w:tcPr>
            <w:tcW w:w="1303" w:type="dxa"/>
            <w:tcBorders>
              <w:top w:val="nil"/>
              <w:left w:val="single" w:sz="4" w:space="0" w:color="auto"/>
              <w:bottom w:val="single" w:sz="4" w:space="0" w:color="FFFFFF" w:themeColor="background1"/>
              <w:right w:val="nil"/>
            </w:tcBorders>
            <w:vAlign w:val="bottom"/>
            <w:hideMark/>
          </w:tcPr>
          <w:p w14:paraId="1FE63A1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Mauretanien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E4FB4C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2D8605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1F495B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0F214CF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B92DA1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BC501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FC98DA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85,1</w:t>
            </w:r>
          </w:p>
        </w:tc>
        <w:tc>
          <w:tcPr>
            <w:tcW w:w="673" w:type="dxa"/>
            <w:tcBorders>
              <w:top w:val="nil"/>
              <w:left w:val="nil"/>
              <w:bottom w:val="single" w:sz="4" w:space="0" w:color="FFFFFF" w:themeColor="background1"/>
              <w:right w:val="nil"/>
            </w:tcBorders>
            <w:noWrap/>
            <w:vAlign w:val="bottom"/>
            <w:hideMark/>
          </w:tcPr>
          <w:p w14:paraId="224D309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17,8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64EE02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963BDD3" w14:textId="77777777" w:rsidTr="005323F9">
        <w:tc>
          <w:tcPr>
            <w:tcW w:w="1303" w:type="dxa"/>
            <w:tcBorders>
              <w:top w:val="nil"/>
              <w:left w:val="single" w:sz="4" w:space="0" w:color="auto"/>
              <w:bottom w:val="single" w:sz="4" w:space="0" w:color="FFFFFF" w:themeColor="background1"/>
              <w:right w:val="nil"/>
            </w:tcBorders>
            <w:vAlign w:val="bottom"/>
            <w:hideMark/>
          </w:tcPr>
          <w:p w14:paraId="11284E7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Kuwait</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5256395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0E294D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F75254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6C248DA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15A3C1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DC040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110,8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366430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84,6</w:t>
            </w:r>
          </w:p>
        </w:tc>
        <w:tc>
          <w:tcPr>
            <w:tcW w:w="673" w:type="dxa"/>
            <w:tcBorders>
              <w:top w:val="nil"/>
              <w:left w:val="nil"/>
              <w:bottom w:val="single" w:sz="4" w:space="0" w:color="FFFFFF" w:themeColor="background1"/>
              <w:right w:val="nil"/>
            </w:tcBorders>
            <w:noWrap/>
            <w:vAlign w:val="bottom"/>
            <w:hideMark/>
          </w:tcPr>
          <w:p w14:paraId="252683F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1A1707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06569E16" w14:textId="77777777" w:rsidTr="005323F9">
        <w:tc>
          <w:tcPr>
            <w:tcW w:w="1303" w:type="dxa"/>
            <w:tcBorders>
              <w:top w:val="nil"/>
              <w:left w:val="single" w:sz="4" w:space="0" w:color="auto"/>
              <w:bottom w:val="single" w:sz="4" w:space="0" w:color="FFFFFF" w:themeColor="background1"/>
              <w:right w:val="nil"/>
            </w:tcBorders>
            <w:vAlign w:val="bottom"/>
            <w:hideMark/>
          </w:tcPr>
          <w:p w14:paraId="42761D8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Malaysia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857574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0,7</w:t>
            </w:r>
          </w:p>
        </w:tc>
        <w:tc>
          <w:tcPr>
            <w:tcW w:w="990" w:type="dxa"/>
            <w:tcBorders>
              <w:top w:val="nil"/>
              <w:left w:val="nil"/>
              <w:bottom w:val="single" w:sz="4" w:space="0" w:color="FFFFFF" w:themeColor="background1"/>
              <w:right w:val="single" w:sz="4" w:space="0" w:color="FFFFFF" w:themeColor="background1"/>
            </w:tcBorders>
            <w:vAlign w:val="bottom"/>
            <w:hideMark/>
          </w:tcPr>
          <w:p w14:paraId="59BCF29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8.143,1</w:t>
            </w:r>
          </w:p>
        </w:tc>
        <w:tc>
          <w:tcPr>
            <w:tcW w:w="990" w:type="dxa"/>
            <w:tcBorders>
              <w:top w:val="nil"/>
              <w:left w:val="nil"/>
              <w:bottom w:val="single" w:sz="4" w:space="0" w:color="FFFFFF" w:themeColor="background1"/>
              <w:right w:val="single" w:sz="4" w:space="0" w:color="FFFFFF" w:themeColor="background1"/>
            </w:tcBorders>
            <w:vAlign w:val="bottom"/>
            <w:hideMark/>
          </w:tcPr>
          <w:p w14:paraId="40B3B8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10.094,9</w:t>
            </w:r>
          </w:p>
        </w:tc>
        <w:tc>
          <w:tcPr>
            <w:tcW w:w="673" w:type="dxa"/>
            <w:tcBorders>
              <w:top w:val="nil"/>
              <w:left w:val="nil"/>
              <w:bottom w:val="single" w:sz="4" w:space="0" w:color="FFFFFF" w:themeColor="background1"/>
              <w:right w:val="single" w:sz="4" w:space="0" w:color="auto"/>
            </w:tcBorders>
            <w:noWrap/>
            <w:vAlign w:val="bottom"/>
            <w:hideMark/>
          </w:tcPr>
          <w:p w14:paraId="49B2C20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9C9A49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7BCE55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89,3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4B801D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79,9</w:t>
            </w:r>
          </w:p>
        </w:tc>
        <w:tc>
          <w:tcPr>
            <w:tcW w:w="673" w:type="dxa"/>
            <w:tcBorders>
              <w:top w:val="nil"/>
              <w:left w:val="nil"/>
              <w:bottom w:val="single" w:sz="4" w:space="0" w:color="FFFFFF" w:themeColor="background1"/>
              <w:right w:val="nil"/>
            </w:tcBorders>
            <w:noWrap/>
            <w:vAlign w:val="bottom"/>
            <w:hideMark/>
          </w:tcPr>
          <w:p w14:paraId="422A917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61B09D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r>
      <w:tr w:rsidR="005323F9" w14:paraId="3C10EA87" w14:textId="77777777" w:rsidTr="005323F9">
        <w:tc>
          <w:tcPr>
            <w:tcW w:w="1303" w:type="dxa"/>
            <w:tcBorders>
              <w:top w:val="nil"/>
              <w:left w:val="single" w:sz="4" w:space="0" w:color="auto"/>
              <w:bottom w:val="single" w:sz="4" w:space="0" w:color="FFFFFF" w:themeColor="background1"/>
              <w:right w:val="nil"/>
            </w:tcBorders>
            <w:vAlign w:val="bottom"/>
            <w:hideMark/>
          </w:tcPr>
          <w:p w14:paraId="43FB5F0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Peru</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D79496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1013D7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w:t>
            </w:r>
          </w:p>
        </w:tc>
        <w:tc>
          <w:tcPr>
            <w:tcW w:w="990" w:type="dxa"/>
            <w:tcBorders>
              <w:top w:val="nil"/>
              <w:left w:val="nil"/>
              <w:bottom w:val="single" w:sz="4" w:space="0" w:color="FFFFFF" w:themeColor="background1"/>
              <w:right w:val="single" w:sz="4" w:space="0" w:color="FFFFFF" w:themeColor="background1"/>
            </w:tcBorders>
            <w:vAlign w:val="bottom"/>
            <w:hideMark/>
          </w:tcPr>
          <w:p w14:paraId="37A105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375D13E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-97,3</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8D28B2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030E3A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E9B70D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78,2</w:t>
            </w:r>
          </w:p>
        </w:tc>
        <w:tc>
          <w:tcPr>
            <w:tcW w:w="673" w:type="dxa"/>
            <w:tcBorders>
              <w:top w:val="nil"/>
              <w:left w:val="nil"/>
              <w:bottom w:val="single" w:sz="4" w:space="0" w:color="FFFFFF" w:themeColor="background1"/>
              <w:right w:val="nil"/>
            </w:tcBorders>
            <w:noWrap/>
            <w:vAlign w:val="bottom"/>
            <w:hideMark/>
          </w:tcPr>
          <w:p w14:paraId="6C45A24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66F6F6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289.796,3</w:t>
            </w:r>
          </w:p>
        </w:tc>
      </w:tr>
      <w:tr w:rsidR="005323F9" w14:paraId="61F70284" w14:textId="77777777" w:rsidTr="005323F9">
        <w:tc>
          <w:tcPr>
            <w:tcW w:w="1303" w:type="dxa"/>
            <w:tcBorders>
              <w:top w:val="nil"/>
              <w:left w:val="single" w:sz="4" w:space="0" w:color="auto"/>
              <w:bottom w:val="single" w:sz="4" w:space="0" w:color="FFFFFF" w:themeColor="background1"/>
              <w:right w:val="nil"/>
            </w:tcBorders>
            <w:vAlign w:val="bottom"/>
            <w:hideMark/>
          </w:tcPr>
          <w:p w14:paraId="7002146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lastRenderedPageBreak/>
              <w:t>Niger</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AD5D20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7E7B80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F8AC7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7A0891E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5D2CC8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2FCF6B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D92842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73,9</w:t>
            </w:r>
          </w:p>
        </w:tc>
        <w:tc>
          <w:tcPr>
            <w:tcW w:w="673" w:type="dxa"/>
            <w:tcBorders>
              <w:top w:val="nil"/>
              <w:left w:val="nil"/>
              <w:bottom w:val="single" w:sz="4" w:space="0" w:color="FFFFFF" w:themeColor="background1"/>
              <w:right w:val="nil"/>
            </w:tcBorders>
            <w:noWrap/>
            <w:vAlign w:val="bottom"/>
            <w:hideMark/>
          </w:tcPr>
          <w:p w14:paraId="28E3CD5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75,5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648627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41E38D8" w14:textId="77777777" w:rsidTr="005323F9">
        <w:tc>
          <w:tcPr>
            <w:tcW w:w="1303" w:type="dxa"/>
            <w:tcBorders>
              <w:top w:val="nil"/>
              <w:left w:val="single" w:sz="4" w:space="0" w:color="auto"/>
              <w:bottom w:val="single" w:sz="4" w:space="0" w:color="FFFFFF" w:themeColor="background1"/>
              <w:right w:val="nil"/>
            </w:tcBorders>
            <w:vAlign w:val="bottom"/>
            <w:hideMark/>
          </w:tcPr>
          <w:p w14:paraId="5C286921"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Kolumbien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555F56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DB41EC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52,3</w:t>
            </w:r>
          </w:p>
        </w:tc>
        <w:tc>
          <w:tcPr>
            <w:tcW w:w="990" w:type="dxa"/>
            <w:tcBorders>
              <w:top w:val="nil"/>
              <w:left w:val="nil"/>
              <w:bottom w:val="single" w:sz="4" w:space="0" w:color="FFFFFF" w:themeColor="background1"/>
              <w:right w:val="single" w:sz="4" w:space="0" w:color="FFFFFF" w:themeColor="background1"/>
            </w:tcBorders>
            <w:vAlign w:val="bottom"/>
            <w:hideMark/>
          </w:tcPr>
          <w:p w14:paraId="220E62A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48,1</w:t>
            </w:r>
          </w:p>
        </w:tc>
        <w:tc>
          <w:tcPr>
            <w:tcW w:w="673" w:type="dxa"/>
            <w:tcBorders>
              <w:top w:val="nil"/>
              <w:left w:val="nil"/>
              <w:bottom w:val="single" w:sz="4" w:space="0" w:color="FFFFFF" w:themeColor="background1"/>
              <w:right w:val="single" w:sz="4" w:space="0" w:color="auto"/>
            </w:tcBorders>
            <w:noWrap/>
            <w:vAlign w:val="bottom"/>
            <w:hideMark/>
          </w:tcPr>
          <w:p w14:paraId="1CEBAC1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83689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F3D8A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47,6</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6F9965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73,8</w:t>
            </w:r>
          </w:p>
        </w:tc>
        <w:tc>
          <w:tcPr>
            <w:tcW w:w="673" w:type="dxa"/>
            <w:tcBorders>
              <w:top w:val="nil"/>
              <w:left w:val="nil"/>
              <w:bottom w:val="single" w:sz="4" w:space="0" w:color="FFFFFF" w:themeColor="background1"/>
              <w:right w:val="nil"/>
            </w:tcBorders>
            <w:noWrap/>
            <w:vAlign w:val="bottom"/>
            <w:hideMark/>
          </w:tcPr>
          <w:p w14:paraId="600A8F4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10269B3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153,4</w:t>
            </w:r>
          </w:p>
        </w:tc>
      </w:tr>
      <w:tr w:rsidR="005323F9" w14:paraId="57F421F3" w14:textId="77777777" w:rsidTr="005323F9">
        <w:tc>
          <w:tcPr>
            <w:tcW w:w="1303" w:type="dxa"/>
            <w:tcBorders>
              <w:top w:val="nil"/>
              <w:left w:val="single" w:sz="4" w:space="0" w:color="auto"/>
              <w:bottom w:val="single" w:sz="4" w:space="0" w:color="FFFFFF" w:themeColor="background1"/>
              <w:right w:val="nil"/>
            </w:tcBorders>
            <w:vAlign w:val="bottom"/>
            <w:hideMark/>
          </w:tcPr>
          <w:p w14:paraId="06778D77"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Kapverden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37ABD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6BC760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709DD7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32,7</w:t>
            </w:r>
          </w:p>
        </w:tc>
        <w:tc>
          <w:tcPr>
            <w:tcW w:w="673" w:type="dxa"/>
            <w:tcBorders>
              <w:top w:val="nil"/>
              <w:left w:val="nil"/>
              <w:bottom w:val="single" w:sz="4" w:space="0" w:color="FFFFFF" w:themeColor="background1"/>
              <w:right w:val="single" w:sz="4" w:space="0" w:color="auto"/>
            </w:tcBorders>
            <w:noWrap/>
            <w:vAlign w:val="bottom"/>
            <w:hideMark/>
          </w:tcPr>
          <w:p w14:paraId="2080F02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D8AA3B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AB6CA1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89,1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173B9C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72,5</w:t>
            </w:r>
          </w:p>
        </w:tc>
        <w:tc>
          <w:tcPr>
            <w:tcW w:w="673" w:type="dxa"/>
            <w:tcBorders>
              <w:top w:val="nil"/>
              <w:left w:val="nil"/>
              <w:bottom w:val="single" w:sz="4" w:space="0" w:color="FFFFFF" w:themeColor="background1"/>
              <w:right w:val="nil"/>
            </w:tcBorders>
            <w:noWrap/>
            <w:vAlign w:val="bottom"/>
            <w:hideMark/>
          </w:tcPr>
          <w:p w14:paraId="7FAC11C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-18,7</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733594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221,8</w:t>
            </w:r>
          </w:p>
        </w:tc>
      </w:tr>
      <w:tr w:rsidR="005323F9" w14:paraId="7291A514" w14:textId="77777777" w:rsidTr="005323F9">
        <w:tc>
          <w:tcPr>
            <w:tcW w:w="1303" w:type="dxa"/>
            <w:tcBorders>
              <w:top w:val="nil"/>
              <w:left w:val="single" w:sz="4" w:space="0" w:color="auto"/>
              <w:bottom w:val="single" w:sz="4" w:space="0" w:color="FFFFFF" w:themeColor="background1"/>
              <w:right w:val="nil"/>
            </w:tcBorders>
            <w:vAlign w:val="bottom"/>
            <w:hideMark/>
          </w:tcPr>
          <w:p w14:paraId="4BC7537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Montenegro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8DA2DE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251F2AA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7B3B2D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w:t>
            </w:r>
          </w:p>
        </w:tc>
        <w:tc>
          <w:tcPr>
            <w:tcW w:w="673" w:type="dxa"/>
            <w:tcBorders>
              <w:top w:val="nil"/>
              <w:left w:val="nil"/>
              <w:bottom w:val="single" w:sz="4" w:space="0" w:color="FFFFFF" w:themeColor="background1"/>
              <w:right w:val="single" w:sz="4" w:space="0" w:color="auto"/>
            </w:tcBorders>
            <w:noWrap/>
            <w:vAlign w:val="bottom"/>
            <w:hideMark/>
          </w:tcPr>
          <w:p w14:paraId="03E1A79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02E74D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EA2AA0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161450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69,8</w:t>
            </w:r>
          </w:p>
        </w:tc>
        <w:tc>
          <w:tcPr>
            <w:tcW w:w="673" w:type="dxa"/>
            <w:tcBorders>
              <w:top w:val="nil"/>
              <w:left w:val="nil"/>
              <w:bottom w:val="single" w:sz="4" w:space="0" w:color="FFFFFF" w:themeColor="background1"/>
              <w:right w:val="nil"/>
            </w:tcBorders>
            <w:noWrap/>
            <w:vAlign w:val="bottom"/>
            <w:hideMark/>
          </w:tcPr>
          <w:p w14:paraId="4BA20BC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4.473,5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2AA191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2.934,4</w:t>
            </w:r>
          </w:p>
        </w:tc>
      </w:tr>
      <w:tr w:rsidR="005323F9" w14:paraId="6B89BF05" w14:textId="77777777" w:rsidTr="005323F9">
        <w:tc>
          <w:tcPr>
            <w:tcW w:w="1303" w:type="dxa"/>
            <w:tcBorders>
              <w:top w:val="nil"/>
              <w:left w:val="single" w:sz="4" w:space="0" w:color="auto"/>
              <w:bottom w:val="single" w:sz="4" w:space="0" w:color="FFFFFF" w:themeColor="background1"/>
              <w:right w:val="nil"/>
            </w:tcBorders>
            <w:vAlign w:val="bottom"/>
            <w:hideMark/>
          </w:tcPr>
          <w:p w14:paraId="5876D7A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Argentinien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23C881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73D09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0,5</w:t>
            </w:r>
          </w:p>
        </w:tc>
        <w:tc>
          <w:tcPr>
            <w:tcW w:w="990" w:type="dxa"/>
            <w:tcBorders>
              <w:top w:val="nil"/>
              <w:left w:val="nil"/>
              <w:bottom w:val="single" w:sz="4" w:space="0" w:color="FFFFFF" w:themeColor="background1"/>
              <w:right w:val="single" w:sz="4" w:space="0" w:color="FFFFFF" w:themeColor="background1"/>
            </w:tcBorders>
            <w:vAlign w:val="bottom"/>
            <w:hideMark/>
          </w:tcPr>
          <w:p w14:paraId="0B99FAD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2D38718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6968321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5D5590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79,4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6A259B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64,9</w:t>
            </w:r>
          </w:p>
        </w:tc>
        <w:tc>
          <w:tcPr>
            <w:tcW w:w="673" w:type="dxa"/>
            <w:tcBorders>
              <w:top w:val="nil"/>
              <w:left w:val="nil"/>
              <w:bottom w:val="single" w:sz="4" w:space="0" w:color="FFFFFF" w:themeColor="background1"/>
              <w:right w:val="nil"/>
            </w:tcBorders>
            <w:noWrap/>
            <w:vAlign w:val="bottom"/>
            <w:hideMark/>
          </w:tcPr>
          <w:p w14:paraId="0D5820D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-18,3</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8EF9DE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7F1DA267" w14:textId="77777777" w:rsidTr="005323F9">
        <w:tc>
          <w:tcPr>
            <w:tcW w:w="1303" w:type="dxa"/>
            <w:tcBorders>
              <w:top w:val="nil"/>
              <w:left w:val="single" w:sz="4" w:space="0" w:color="auto"/>
              <w:bottom w:val="single" w:sz="4" w:space="0" w:color="FFFFFF" w:themeColor="background1"/>
              <w:right w:val="nil"/>
            </w:tcBorders>
            <w:vAlign w:val="bottom"/>
            <w:hideMark/>
          </w:tcPr>
          <w:p w14:paraId="1E7218AE"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Gambia</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1A299A6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91587C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A06009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3352201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0A4D2E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E3C315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106,8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63D209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62,9</w:t>
            </w:r>
          </w:p>
        </w:tc>
        <w:tc>
          <w:tcPr>
            <w:tcW w:w="673" w:type="dxa"/>
            <w:tcBorders>
              <w:top w:val="nil"/>
              <w:left w:val="nil"/>
              <w:bottom w:val="single" w:sz="4" w:space="0" w:color="FFFFFF" w:themeColor="background1"/>
              <w:right w:val="nil"/>
            </w:tcBorders>
            <w:noWrap/>
            <w:vAlign w:val="bottom"/>
            <w:hideMark/>
          </w:tcPr>
          <w:p w14:paraId="5217CF7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-41,1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767EF22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27508C7B" w14:textId="77777777" w:rsidTr="005323F9">
        <w:tc>
          <w:tcPr>
            <w:tcW w:w="1303" w:type="dxa"/>
            <w:tcBorders>
              <w:top w:val="nil"/>
              <w:left w:val="single" w:sz="4" w:space="0" w:color="auto"/>
              <w:bottom w:val="single" w:sz="4" w:space="0" w:color="FFFFFF" w:themeColor="background1"/>
              <w:right w:val="nil"/>
            </w:tcBorders>
            <w:vAlign w:val="bottom"/>
            <w:hideMark/>
          </w:tcPr>
          <w:p w14:paraId="2EEC459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 xml:space="preserve">Kongo (Brazzaville) </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935F17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57E477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88962A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099A44C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E4D9B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258235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130,7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A508EC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60,4</w:t>
            </w:r>
          </w:p>
        </w:tc>
        <w:tc>
          <w:tcPr>
            <w:tcW w:w="673" w:type="dxa"/>
            <w:tcBorders>
              <w:top w:val="nil"/>
              <w:left w:val="nil"/>
              <w:bottom w:val="single" w:sz="4" w:space="0" w:color="FFFFFF" w:themeColor="background1"/>
              <w:right w:val="nil"/>
            </w:tcBorders>
            <w:noWrap/>
            <w:vAlign w:val="bottom"/>
            <w:hideMark/>
          </w:tcPr>
          <w:p w14:paraId="4F816D4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-53,8</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3498A6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8EE369F" w14:textId="77777777" w:rsidTr="005323F9">
        <w:tc>
          <w:tcPr>
            <w:tcW w:w="1303" w:type="dxa"/>
            <w:tcBorders>
              <w:top w:val="nil"/>
              <w:left w:val="single" w:sz="4" w:space="0" w:color="auto"/>
              <w:bottom w:val="single" w:sz="4" w:space="0" w:color="FFFFFF" w:themeColor="background1"/>
              <w:right w:val="nil"/>
            </w:tcBorders>
            <w:vAlign w:val="bottom"/>
            <w:hideMark/>
          </w:tcPr>
          <w:p w14:paraId="582A217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Madagaskar</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3521FA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095329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6C1C9E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636B8BF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FE575E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0E8B30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40,4</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A27D48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59,7</w:t>
            </w:r>
          </w:p>
        </w:tc>
        <w:tc>
          <w:tcPr>
            <w:tcW w:w="673" w:type="dxa"/>
            <w:tcBorders>
              <w:top w:val="nil"/>
              <w:left w:val="nil"/>
              <w:bottom w:val="single" w:sz="4" w:space="0" w:color="FFFFFF" w:themeColor="background1"/>
              <w:right w:val="nil"/>
            </w:tcBorders>
            <w:noWrap/>
            <w:vAlign w:val="bottom"/>
            <w:hideMark/>
          </w:tcPr>
          <w:p w14:paraId="7511FEF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47,6</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E6FFA9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49AF16C2" w14:textId="77777777" w:rsidTr="005323F9">
        <w:tc>
          <w:tcPr>
            <w:tcW w:w="1303" w:type="dxa"/>
            <w:tcBorders>
              <w:top w:val="nil"/>
              <w:left w:val="single" w:sz="4" w:space="0" w:color="auto"/>
              <w:bottom w:val="single" w:sz="4" w:space="0" w:color="FFFFFF" w:themeColor="background1"/>
              <w:right w:val="nil"/>
            </w:tcBorders>
            <w:vAlign w:val="bottom"/>
            <w:hideMark/>
          </w:tcPr>
          <w:p w14:paraId="25B2469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Barbados</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34A8D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1E1AE41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08AE080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17769FB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3CD987D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03D3FF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8CAA5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59,5</w:t>
            </w:r>
          </w:p>
        </w:tc>
        <w:tc>
          <w:tcPr>
            <w:tcW w:w="673" w:type="dxa"/>
            <w:tcBorders>
              <w:top w:val="nil"/>
              <w:left w:val="nil"/>
              <w:bottom w:val="single" w:sz="4" w:space="0" w:color="FFFFFF" w:themeColor="background1"/>
              <w:right w:val="nil"/>
            </w:tcBorders>
            <w:noWrap/>
            <w:vAlign w:val="bottom"/>
            <w:hideMark/>
          </w:tcPr>
          <w:p w14:paraId="21301BD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664,5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DA8396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593E9199" w14:textId="77777777" w:rsidTr="005323F9">
        <w:tc>
          <w:tcPr>
            <w:tcW w:w="1303" w:type="dxa"/>
            <w:tcBorders>
              <w:top w:val="nil"/>
              <w:left w:val="single" w:sz="4" w:space="0" w:color="auto"/>
              <w:bottom w:val="single" w:sz="4" w:space="0" w:color="FFFFFF" w:themeColor="background1"/>
              <w:right w:val="nil"/>
            </w:tcBorders>
            <w:vAlign w:val="bottom"/>
            <w:hideMark/>
          </w:tcPr>
          <w:p w14:paraId="5D08F15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Uruguay</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B202AF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C1C353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1318A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2,0</w:t>
            </w:r>
          </w:p>
        </w:tc>
        <w:tc>
          <w:tcPr>
            <w:tcW w:w="673" w:type="dxa"/>
            <w:tcBorders>
              <w:top w:val="nil"/>
              <w:left w:val="nil"/>
              <w:bottom w:val="single" w:sz="4" w:space="0" w:color="FFFFFF" w:themeColor="background1"/>
              <w:right w:val="single" w:sz="4" w:space="0" w:color="auto"/>
            </w:tcBorders>
            <w:noWrap/>
            <w:vAlign w:val="bottom"/>
            <w:hideMark/>
          </w:tcPr>
          <w:p w14:paraId="2491468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44AEF3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9C748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305,1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D3BE3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58,1</w:t>
            </w:r>
          </w:p>
        </w:tc>
        <w:tc>
          <w:tcPr>
            <w:tcW w:w="673" w:type="dxa"/>
            <w:tcBorders>
              <w:top w:val="nil"/>
              <w:left w:val="nil"/>
              <w:bottom w:val="single" w:sz="4" w:space="0" w:color="FFFFFF" w:themeColor="background1"/>
              <w:right w:val="nil"/>
            </w:tcBorders>
            <w:noWrap/>
            <w:vAlign w:val="bottom"/>
            <w:hideMark/>
          </w:tcPr>
          <w:p w14:paraId="2DA2BA4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-81,0</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6D234C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2.928,0</w:t>
            </w:r>
          </w:p>
        </w:tc>
      </w:tr>
      <w:tr w:rsidR="005323F9" w14:paraId="1FE5C382" w14:textId="77777777" w:rsidTr="005323F9">
        <w:tc>
          <w:tcPr>
            <w:tcW w:w="1303" w:type="dxa"/>
            <w:tcBorders>
              <w:top w:val="nil"/>
              <w:left w:val="single" w:sz="4" w:space="0" w:color="auto"/>
              <w:bottom w:val="single" w:sz="4" w:space="0" w:color="FFFFFF" w:themeColor="background1"/>
              <w:right w:val="nil"/>
            </w:tcBorders>
            <w:vAlign w:val="bottom"/>
            <w:hideMark/>
          </w:tcPr>
          <w:p w14:paraId="50649158"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Mazedonien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3D28B2F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5D675B7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549,9</w:t>
            </w:r>
          </w:p>
        </w:tc>
        <w:tc>
          <w:tcPr>
            <w:tcW w:w="990" w:type="dxa"/>
            <w:tcBorders>
              <w:top w:val="nil"/>
              <w:left w:val="nil"/>
              <w:bottom w:val="single" w:sz="4" w:space="0" w:color="FFFFFF" w:themeColor="background1"/>
              <w:right w:val="single" w:sz="4" w:space="0" w:color="FFFFFF" w:themeColor="background1"/>
            </w:tcBorders>
            <w:vAlign w:val="bottom"/>
            <w:hideMark/>
          </w:tcPr>
          <w:p w14:paraId="612CCFF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549,1</w:t>
            </w:r>
          </w:p>
        </w:tc>
        <w:tc>
          <w:tcPr>
            <w:tcW w:w="673" w:type="dxa"/>
            <w:tcBorders>
              <w:top w:val="nil"/>
              <w:left w:val="nil"/>
              <w:bottom w:val="single" w:sz="4" w:space="0" w:color="FFFFFF" w:themeColor="background1"/>
              <w:right w:val="single" w:sz="4" w:space="0" w:color="auto"/>
            </w:tcBorders>
            <w:noWrap/>
            <w:vAlign w:val="bottom"/>
            <w:hideMark/>
          </w:tcPr>
          <w:p w14:paraId="0F338B4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4773EEE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59FE26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318,3</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21BDCA9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56,9</w:t>
            </w:r>
          </w:p>
        </w:tc>
        <w:tc>
          <w:tcPr>
            <w:tcW w:w="673" w:type="dxa"/>
            <w:tcBorders>
              <w:top w:val="nil"/>
              <w:left w:val="nil"/>
              <w:bottom w:val="single" w:sz="4" w:space="0" w:color="FFFFFF" w:themeColor="background1"/>
              <w:right w:val="nil"/>
            </w:tcBorders>
            <w:noWrap/>
            <w:vAlign w:val="bottom"/>
            <w:hideMark/>
          </w:tcPr>
          <w:p w14:paraId="09119A5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-82,1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03599CE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10,4</w:t>
            </w:r>
          </w:p>
        </w:tc>
      </w:tr>
      <w:tr w:rsidR="005323F9" w14:paraId="2BC8B916" w14:textId="77777777" w:rsidTr="005323F9">
        <w:tc>
          <w:tcPr>
            <w:tcW w:w="1303" w:type="dxa"/>
            <w:tcBorders>
              <w:top w:val="nil"/>
              <w:left w:val="single" w:sz="4" w:space="0" w:color="auto"/>
              <w:bottom w:val="single" w:sz="4" w:space="0" w:color="FFFFFF" w:themeColor="background1"/>
              <w:right w:val="nil"/>
            </w:tcBorders>
            <w:vAlign w:val="bottom"/>
            <w:hideMark/>
          </w:tcPr>
          <w:p w14:paraId="4C8A076D"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Kosovo</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64BB91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02086EB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602,9</w:t>
            </w:r>
          </w:p>
        </w:tc>
        <w:tc>
          <w:tcPr>
            <w:tcW w:w="990" w:type="dxa"/>
            <w:tcBorders>
              <w:top w:val="nil"/>
              <w:left w:val="nil"/>
              <w:bottom w:val="single" w:sz="4" w:space="0" w:color="FFFFFF" w:themeColor="background1"/>
              <w:right w:val="single" w:sz="4" w:space="0" w:color="FFFFFF" w:themeColor="background1"/>
            </w:tcBorders>
            <w:vAlign w:val="bottom"/>
            <w:hideMark/>
          </w:tcPr>
          <w:p w14:paraId="188B2CC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934,6</w:t>
            </w:r>
          </w:p>
        </w:tc>
        <w:tc>
          <w:tcPr>
            <w:tcW w:w="673" w:type="dxa"/>
            <w:tcBorders>
              <w:top w:val="nil"/>
              <w:left w:val="nil"/>
              <w:bottom w:val="single" w:sz="4" w:space="0" w:color="FFFFFF" w:themeColor="background1"/>
              <w:right w:val="single" w:sz="4" w:space="0" w:color="auto"/>
            </w:tcBorders>
            <w:noWrap/>
            <w:vAlign w:val="bottom"/>
            <w:hideMark/>
          </w:tcPr>
          <w:p w14:paraId="2E41BC2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55,0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2ADB867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2C392A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67,0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63DEB6D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56,4</w:t>
            </w:r>
          </w:p>
        </w:tc>
        <w:tc>
          <w:tcPr>
            <w:tcW w:w="673" w:type="dxa"/>
            <w:tcBorders>
              <w:top w:val="nil"/>
              <w:left w:val="nil"/>
              <w:bottom w:val="single" w:sz="4" w:space="0" w:color="FFFFFF" w:themeColor="background1"/>
              <w:right w:val="nil"/>
            </w:tcBorders>
            <w:noWrap/>
            <w:vAlign w:val="bottom"/>
            <w:hideMark/>
          </w:tcPr>
          <w:p w14:paraId="72190E3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-15,9</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4643A2C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6,0</w:t>
            </w:r>
          </w:p>
        </w:tc>
      </w:tr>
      <w:tr w:rsidR="005323F9" w14:paraId="29369C02" w14:textId="77777777" w:rsidTr="005323F9">
        <w:tc>
          <w:tcPr>
            <w:tcW w:w="1303" w:type="dxa"/>
            <w:tcBorders>
              <w:top w:val="nil"/>
              <w:left w:val="single" w:sz="4" w:space="0" w:color="auto"/>
              <w:bottom w:val="single" w:sz="4" w:space="0" w:color="FFFFFF" w:themeColor="background1"/>
              <w:right w:val="nil"/>
            </w:tcBorders>
            <w:vAlign w:val="bottom"/>
            <w:hideMark/>
          </w:tcPr>
          <w:p w14:paraId="4E714015"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Philippinen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69B43D3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429D742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313,7</w:t>
            </w:r>
          </w:p>
        </w:tc>
        <w:tc>
          <w:tcPr>
            <w:tcW w:w="990" w:type="dxa"/>
            <w:tcBorders>
              <w:top w:val="nil"/>
              <w:left w:val="nil"/>
              <w:bottom w:val="single" w:sz="4" w:space="0" w:color="FFFFFF" w:themeColor="background1"/>
              <w:right w:val="single" w:sz="4" w:space="0" w:color="FFFFFF" w:themeColor="background1"/>
            </w:tcBorders>
            <w:vAlign w:val="bottom"/>
            <w:hideMark/>
          </w:tcPr>
          <w:p w14:paraId="2D7D916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293,7</w:t>
            </w:r>
          </w:p>
        </w:tc>
        <w:tc>
          <w:tcPr>
            <w:tcW w:w="673" w:type="dxa"/>
            <w:tcBorders>
              <w:top w:val="nil"/>
              <w:left w:val="nil"/>
              <w:bottom w:val="single" w:sz="4" w:space="0" w:color="FFFFFF" w:themeColor="background1"/>
              <w:right w:val="single" w:sz="4" w:space="0" w:color="auto"/>
            </w:tcBorders>
            <w:noWrap/>
            <w:vAlign w:val="bottom"/>
            <w:hideMark/>
          </w:tcPr>
          <w:p w14:paraId="453ED2D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-6,4</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162C2A9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76AFF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47,1</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EE8365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53,5</w:t>
            </w:r>
          </w:p>
        </w:tc>
        <w:tc>
          <w:tcPr>
            <w:tcW w:w="673" w:type="dxa"/>
            <w:tcBorders>
              <w:top w:val="nil"/>
              <w:left w:val="nil"/>
              <w:bottom w:val="single" w:sz="4" w:space="0" w:color="FFFFFF" w:themeColor="background1"/>
              <w:right w:val="nil"/>
            </w:tcBorders>
            <w:noWrap/>
            <w:vAlign w:val="bottom"/>
            <w:hideMark/>
          </w:tcPr>
          <w:p w14:paraId="4D79268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13,5</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BC900F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18,2</w:t>
            </w:r>
          </w:p>
        </w:tc>
      </w:tr>
      <w:tr w:rsidR="005323F9" w14:paraId="3CDE2C2C" w14:textId="77777777" w:rsidTr="005323F9">
        <w:tc>
          <w:tcPr>
            <w:tcW w:w="1303" w:type="dxa"/>
            <w:tcBorders>
              <w:top w:val="nil"/>
              <w:left w:val="single" w:sz="4" w:space="0" w:color="auto"/>
              <w:bottom w:val="single" w:sz="4" w:space="0" w:color="FFFFFF" w:themeColor="background1"/>
              <w:right w:val="nil"/>
            </w:tcBorders>
            <w:vAlign w:val="bottom"/>
            <w:hideMark/>
          </w:tcPr>
          <w:p w14:paraId="2F0BCCDF"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Tunesien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2BF602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2D97E0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13,8</w:t>
            </w:r>
          </w:p>
        </w:tc>
        <w:tc>
          <w:tcPr>
            <w:tcW w:w="990" w:type="dxa"/>
            <w:tcBorders>
              <w:top w:val="nil"/>
              <w:left w:val="nil"/>
              <w:bottom w:val="single" w:sz="4" w:space="0" w:color="FFFFFF" w:themeColor="background1"/>
              <w:right w:val="single" w:sz="4" w:space="0" w:color="FFFFFF" w:themeColor="background1"/>
            </w:tcBorders>
            <w:vAlign w:val="bottom"/>
            <w:hideMark/>
          </w:tcPr>
          <w:p w14:paraId="5CC4D11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9,1</w:t>
            </w:r>
          </w:p>
        </w:tc>
        <w:tc>
          <w:tcPr>
            <w:tcW w:w="673" w:type="dxa"/>
            <w:tcBorders>
              <w:top w:val="nil"/>
              <w:left w:val="nil"/>
              <w:bottom w:val="single" w:sz="4" w:space="0" w:color="FFFFFF" w:themeColor="background1"/>
              <w:right w:val="single" w:sz="4" w:space="0" w:color="auto"/>
            </w:tcBorders>
            <w:noWrap/>
            <w:vAlign w:val="bottom"/>
            <w:hideMark/>
          </w:tcPr>
          <w:p w14:paraId="05967DE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-34,2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968EE3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988ACD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44,2</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B5CB3A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49,6</w:t>
            </w:r>
          </w:p>
        </w:tc>
        <w:tc>
          <w:tcPr>
            <w:tcW w:w="673" w:type="dxa"/>
            <w:tcBorders>
              <w:top w:val="nil"/>
              <w:left w:val="nil"/>
              <w:bottom w:val="single" w:sz="4" w:space="0" w:color="FFFFFF" w:themeColor="background1"/>
              <w:right w:val="nil"/>
            </w:tcBorders>
            <w:noWrap/>
            <w:vAlign w:val="bottom"/>
            <w:hideMark/>
          </w:tcPr>
          <w:p w14:paraId="4E6553A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20461D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548,3</w:t>
            </w:r>
          </w:p>
        </w:tc>
      </w:tr>
      <w:tr w:rsidR="005323F9" w14:paraId="48B82C97" w14:textId="77777777" w:rsidTr="005323F9">
        <w:tc>
          <w:tcPr>
            <w:tcW w:w="1303" w:type="dxa"/>
            <w:tcBorders>
              <w:top w:val="nil"/>
              <w:left w:val="single" w:sz="4" w:space="0" w:color="auto"/>
              <w:bottom w:val="single" w:sz="4" w:space="0" w:color="FFFFFF" w:themeColor="background1"/>
              <w:right w:val="nil"/>
            </w:tcBorders>
            <w:vAlign w:val="bottom"/>
            <w:hideMark/>
          </w:tcPr>
          <w:p w14:paraId="325165BB"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Ukraine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77B8974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0,8</w:t>
            </w:r>
          </w:p>
        </w:tc>
        <w:tc>
          <w:tcPr>
            <w:tcW w:w="990" w:type="dxa"/>
            <w:tcBorders>
              <w:top w:val="nil"/>
              <w:left w:val="nil"/>
              <w:bottom w:val="single" w:sz="4" w:space="0" w:color="FFFFFF" w:themeColor="background1"/>
              <w:right w:val="single" w:sz="4" w:space="0" w:color="FFFFFF" w:themeColor="background1"/>
            </w:tcBorders>
            <w:vAlign w:val="bottom"/>
            <w:hideMark/>
          </w:tcPr>
          <w:p w14:paraId="7F90E25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12.112,1</w:t>
            </w:r>
          </w:p>
        </w:tc>
        <w:tc>
          <w:tcPr>
            <w:tcW w:w="990" w:type="dxa"/>
            <w:tcBorders>
              <w:top w:val="nil"/>
              <w:left w:val="nil"/>
              <w:bottom w:val="single" w:sz="4" w:space="0" w:color="FFFFFF" w:themeColor="background1"/>
              <w:right w:val="single" w:sz="4" w:space="0" w:color="FFFFFF" w:themeColor="background1"/>
            </w:tcBorders>
            <w:vAlign w:val="bottom"/>
            <w:hideMark/>
          </w:tcPr>
          <w:p w14:paraId="744862E5"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11.236,2</w:t>
            </w:r>
          </w:p>
        </w:tc>
        <w:tc>
          <w:tcPr>
            <w:tcW w:w="673" w:type="dxa"/>
            <w:tcBorders>
              <w:top w:val="nil"/>
              <w:left w:val="nil"/>
              <w:bottom w:val="single" w:sz="4" w:space="0" w:color="FFFFFF" w:themeColor="background1"/>
              <w:right w:val="single" w:sz="4" w:space="0" w:color="auto"/>
            </w:tcBorders>
            <w:noWrap/>
            <w:vAlign w:val="bottom"/>
            <w:hideMark/>
          </w:tcPr>
          <w:p w14:paraId="1806E10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-7,2</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AF4A54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675BB21"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237,5</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1D98EA7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49,5</w:t>
            </w:r>
          </w:p>
        </w:tc>
        <w:tc>
          <w:tcPr>
            <w:tcW w:w="673" w:type="dxa"/>
            <w:tcBorders>
              <w:top w:val="nil"/>
              <w:left w:val="nil"/>
              <w:bottom w:val="single" w:sz="4" w:space="0" w:color="FFFFFF" w:themeColor="background1"/>
              <w:right w:val="nil"/>
            </w:tcBorders>
            <w:noWrap/>
            <w:vAlign w:val="bottom"/>
            <w:hideMark/>
          </w:tcPr>
          <w:p w14:paraId="0E68568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-79,2</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3CBB3A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0,4</w:t>
            </w:r>
          </w:p>
        </w:tc>
      </w:tr>
      <w:tr w:rsidR="005323F9" w14:paraId="526D978D" w14:textId="77777777" w:rsidTr="005323F9">
        <w:tc>
          <w:tcPr>
            <w:tcW w:w="1303" w:type="dxa"/>
            <w:tcBorders>
              <w:top w:val="nil"/>
              <w:left w:val="single" w:sz="4" w:space="0" w:color="auto"/>
              <w:bottom w:val="single" w:sz="4" w:space="0" w:color="FFFFFF" w:themeColor="background1"/>
              <w:right w:val="nil"/>
            </w:tcBorders>
            <w:vAlign w:val="bottom"/>
            <w:hideMark/>
          </w:tcPr>
          <w:p w14:paraId="5C9380A9"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Sierra Leone</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21BBAB2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7A12C1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3D25480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5A49B81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5928525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7AEC142B"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142,7</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4DCEAEC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49,4</w:t>
            </w:r>
          </w:p>
        </w:tc>
        <w:tc>
          <w:tcPr>
            <w:tcW w:w="673" w:type="dxa"/>
            <w:tcBorders>
              <w:top w:val="nil"/>
              <w:left w:val="nil"/>
              <w:bottom w:val="single" w:sz="4" w:space="0" w:color="FFFFFF" w:themeColor="background1"/>
              <w:right w:val="nil"/>
            </w:tcBorders>
            <w:noWrap/>
            <w:vAlign w:val="bottom"/>
            <w:hideMark/>
          </w:tcPr>
          <w:p w14:paraId="0D13FD8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-65,4</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52F314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9E09B41" w14:textId="77777777" w:rsidTr="005323F9">
        <w:tc>
          <w:tcPr>
            <w:tcW w:w="1303" w:type="dxa"/>
            <w:tcBorders>
              <w:top w:val="nil"/>
              <w:left w:val="single" w:sz="4" w:space="0" w:color="auto"/>
              <w:bottom w:val="single" w:sz="4" w:space="0" w:color="FFFFFF" w:themeColor="background1"/>
              <w:right w:val="nil"/>
            </w:tcBorders>
            <w:vAlign w:val="bottom"/>
            <w:hideMark/>
          </w:tcPr>
          <w:p w14:paraId="515BE07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Oman</w:t>
            </w:r>
          </w:p>
        </w:tc>
        <w:tc>
          <w:tcPr>
            <w:tcW w:w="904" w:type="dxa"/>
            <w:tcBorders>
              <w:top w:val="nil"/>
              <w:left w:val="single" w:sz="4" w:space="0" w:color="auto"/>
              <w:bottom w:val="single" w:sz="4" w:space="0" w:color="FFFFFF" w:themeColor="background1"/>
              <w:right w:val="single" w:sz="4" w:space="0" w:color="FFFFFF" w:themeColor="background1"/>
            </w:tcBorders>
            <w:vAlign w:val="bottom"/>
            <w:hideMark/>
          </w:tcPr>
          <w:p w14:paraId="4CBF838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990" w:type="dxa"/>
            <w:tcBorders>
              <w:top w:val="nil"/>
              <w:left w:val="nil"/>
              <w:bottom w:val="single" w:sz="4" w:space="0" w:color="FFFFFF" w:themeColor="background1"/>
              <w:right w:val="single" w:sz="4" w:space="0" w:color="FFFFFF" w:themeColor="background1"/>
            </w:tcBorders>
            <w:vAlign w:val="bottom"/>
            <w:hideMark/>
          </w:tcPr>
          <w:p w14:paraId="6A24EE3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990" w:type="dxa"/>
            <w:tcBorders>
              <w:top w:val="nil"/>
              <w:left w:val="nil"/>
              <w:bottom w:val="single" w:sz="4" w:space="0" w:color="FFFFFF" w:themeColor="background1"/>
              <w:right w:val="single" w:sz="4" w:space="0" w:color="FFFFFF" w:themeColor="background1"/>
            </w:tcBorders>
            <w:vAlign w:val="bottom"/>
            <w:hideMark/>
          </w:tcPr>
          <w:p w14:paraId="25D4761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673" w:type="dxa"/>
            <w:tcBorders>
              <w:top w:val="nil"/>
              <w:left w:val="nil"/>
              <w:bottom w:val="single" w:sz="4" w:space="0" w:color="FFFFFF" w:themeColor="background1"/>
              <w:right w:val="single" w:sz="4" w:space="0" w:color="auto"/>
            </w:tcBorders>
            <w:noWrap/>
            <w:vAlign w:val="bottom"/>
            <w:hideMark/>
          </w:tcPr>
          <w:p w14:paraId="62C3720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-100,0</w:t>
            </w:r>
          </w:p>
        </w:tc>
        <w:tc>
          <w:tcPr>
            <w:tcW w:w="829" w:type="dxa"/>
            <w:tcBorders>
              <w:top w:val="nil"/>
              <w:left w:val="nil"/>
              <w:bottom w:val="single" w:sz="4" w:space="0" w:color="FFFFFF" w:themeColor="background1"/>
              <w:right w:val="single" w:sz="4" w:space="0" w:color="FFFFFF" w:themeColor="background1"/>
            </w:tcBorders>
            <w:noWrap/>
            <w:vAlign w:val="bottom"/>
            <w:hideMark/>
          </w:tcPr>
          <w:p w14:paraId="7EFB35C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064C454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60,8</w:t>
            </w:r>
          </w:p>
        </w:tc>
        <w:tc>
          <w:tcPr>
            <w:tcW w:w="854" w:type="dxa"/>
            <w:tcBorders>
              <w:top w:val="nil"/>
              <w:left w:val="nil"/>
              <w:bottom w:val="single" w:sz="4" w:space="0" w:color="FFFFFF" w:themeColor="background1"/>
              <w:right w:val="single" w:sz="4" w:space="0" w:color="FFFFFF" w:themeColor="background1"/>
            </w:tcBorders>
            <w:noWrap/>
            <w:vAlign w:val="bottom"/>
            <w:hideMark/>
          </w:tcPr>
          <w:p w14:paraId="370A910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47,9</w:t>
            </w:r>
          </w:p>
        </w:tc>
        <w:tc>
          <w:tcPr>
            <w:tcW w:w="673" w:type="dxa"/>
            <w:tcBorders>
              <w:top w:val="nil"/>
              <w:left w:val="nil"/>
              <w:bottom w:val="single" w:sz="4" w:space="0" w:color="FFFFFF" w:themeColor="background1"/>
              <w:right w:val="nil"/>
            </w:tcBorders>
            <w:noWrap/>
            <w:vAlign w:val="bottom"/>
            <w:hideMark/>
          </w:tcPr>
          <w:p w14:paraId="2B6AAA6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-21,1</w:t>
            </w:r>
          </w:p>
        </w:tc>
        <w:tc>
          <w:tcPr>
            <w:tcW w:w="1102" w:type="dxa"/>
            <w:tcBorders>
              <w:top w:val="nil"/>
              <w:left w:val="single" w:sz="4" w:space="0" w:color="auto"/>
              <w:bottom w:val="single" w:sz="4" w:space="0" w:color="FFFFFF" w:themeColor="background1"/>
              <w:right w:val="single" w:sz="4" w:space="0" w:color="auto"/>
            </w:tcBorders>
            <w:noWrap/>
            <w:vAlign w:val="bottom"/>
            <w:hideMark/>
          </w:tcPr>
          <w:p w14:paraId="3617609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 xml:space="preserve">– </w:t>
            </w:r>
          </w:p>
        </w:tc>
      </w:tr>
      <w:tr w:rsidR="005323F9" w14:paraId="3E5C8411" w14:textId="77777777" w:rsidTr="005323F9">
        <w:tc>
          <w:tcPr>
            <w:tcW w:w="1303" w:type="dxa"/>
            <w:tcBorders>
              <w:top w:val="nil"/>
              <w:left w:val="single" w:sz="4" w:space="0" w:color="auto"/>
              <w:bottom w:val="nil"/>
              <w:right w:val="nil"/>
            </w:tcBorders>
            <w:vAlign w:val="bottom"/>
            <w:hideMark/>
          </w:tcPr>
          <w:p w14:paraId="78B0DAC3"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Vietnam</w:t>
            </w:r>
          </w:p>
        </w:tc>
        <w:tc>
          <w:tcPr>
            <w:tcW w:w="904" w:type="dxa"/>
            <w:tcBorders>
              <w:top w:val="nil"/>
              <w:left w:val="single" w:sz="4" w:space="0" w:color="auto"/>
              <w:bottom w:val="nil"/>
              <w:right w:val="single" w:sz="4" w:space="0" w:color="FFFFFF" w:themeColor="background1"/>
            </w:tcBorders>
            <w:vAlign w:val="bottom"/>
            <w:hideMark/>
          </w:tcPr>
          <w:p w14:paraId="33C555FD"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2,6</w:t>
            </w:r>
          </w:p>
        </w:tc>
        <w:tc>
          <w:tcPr>
            <w:tcW w:w="990" w:type="dxa"/>
            <w:tcBorders>
              <w:top w:val="nil"/>
              <w:left w:val="nil"/>
              <w:bottom w:val="nil"/>
              <w:right w:val="single" w:sz="4" w:space="0" w:color="FFFFFF" w:themeColor="background1"/>
            </w:tcBorders>
            <w:vAlign w:val="bottom"/>
            <w:hideMark/>
          </w:tcPr>
          <w:p w14:paraId="34809B29"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24.318,4</w:t>
            </w:r>
          </w:p>
        </w:tc>
        <w:tc>
          <w:tcPr>
            <w:tcW w:w="990" w:type="dxa"/>
            <w:tcBorders>
              <w:top w:val="nil"/>
              <w:left w:val="nil"/>
              <w:bottom w:val="nil"/>
              <w:right w:val="single" w:sz="4" w:space="0" w:color="FFFFFF" w:themeColor="background1"/>
            </w:tcBorders>
            <w:vAlign w:val="bottom"/>
            <w:hideMark/>
          </w:tcPr>
          <w:p w14:paraId="44CD3BF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38.189,4</w:t>
            </w:r>
          </w:p>
        </w:tc>
        <w:tc>
          <w:tcPr>
            <w:tcW w:w="673" w:type="dxa"/>
            <w:tcBorders>
              <w:top w:val="nil"/>
              <w:left w:val="nil"/>
              <w:bottom w:val="nil"/>
              <w:right w:val="single" w:sz="4" w:space="0" w:color="auto"/>
            </w:tcBorders>
            <w:noWrap/>
            <w:vAlign w:val="bottom"/>
            <w:hideMark/>
          </w:tcPr>
          <w:p w14:paraId="1082B59F"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57,0</w:t>
            </w:r>
          </w:p>
        </w:tc>
        <w:tc>
          <w:tcPr>
            <w:tcW w:w="829" w:type="dxa"/>
            <w:tcBorders>
              <w:top w:val="nil"/>
              <w:left w:val="nil"/>
              <w:bottom w:val="nil"/>
              <w:right w:val="single" w:sz="4" w:space="0" w:color="FFFFFF" w:themeColor="background1"/>
            </w:tcBorders>
            <w:noWrap/>
            <w:vAlign w:val="bottom"/>
            <w:hideMark/>
          </w:tcPr>
          <w:p w14:paraId="017E5966"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0,0</w:t>
            </w:r>
          </w:p>
        </w:tc>
        <w:tc>
          <w:tcPr>
            <w:tcW w:w="854" w:type="dxa"/>
            <w:tcBorders>
              <w:top w:val="nil"/>
              <w:left w:val="nil"/>
              <w:bottom w:val="nil"/>
              <w:right w:val="single" w:sz="4" w:space="0" w:color="FFFFFF" w:themeColor="background1"/>
            </w:tcBorders>
            <w:noWrap/>
            <w:vAlign w:val="bottom"/>
            <w:hideMark/>
          </w:tcPr>
          <w:p w14:paraId="6738603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48,2</w:t>
            </w:r>
          </w:p>
        </w:tc>
        <w:tc>
          <w:tcPr>
            <w:tcW w:w="854" w:type="dxa"/>
            <w:tcBorders>
              <w:top w:val="nil"/>
              <w:left w:val="nil"/>
              <w:bottom w:val="nil"/>
              <w:right w:val="single" w:sz="4" w:space="0" w:color="FFFFFF" w:themeColor="background1"/>
            </w:tcBorders>
            <w:noWrap/>
            <w:vAlign w:val="bottom"/>
            <w:hideMark/>
          </w:tcPr>
          <w:p w14:paraId="78D006BA"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42,4</w:t>
            </w:r>
          </w:p>
        </w:tc>
        <w:tc>
          <w:tcPr>
            <w:tcW w:w="673" w:type="dxa"/>
            <w:tcBorders>
              <w:top w:val="nil"/>
              <w:left w:val="nil"/>
              <w:bottom w:val="nil"/>
              <w:right w:val="single" w:sz="4" w:space="0" w:color="auto"/>
            </w:tcBorders>
            <w:noWrap/>
            <w:vAlign w:val="bottom"/>
            <w:hideMark/>
          </w:tcPr>
          <w:p w14:paraId="5F9F16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-12,1</w:t>
            </w:r>
          </w:p>
        </w:tc>
        <w:tc>
          <w:tcPr>
            <w:tcW w:w="1102" w:type="dxa"/>
            <w:tcBorders>
              <w:top w:val="nil"/>
              <w:left w:val="nil"/>
              <w:bottom w:val="nil"/>
              <w:right w:val="single" w:sz="4" w:space="0" w:color="auto"/>
            </w:tcBorders>
            <w:noWrap/>
            <w:vAlign w:val="bottom"/>
            <w:hideMark/>
          </w:tcPr>
          <w:p w14:paraId="7536475C"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r>
      <w:tr w:rsidR="005323F9" w14:paraId="66290C1B" w14:textId="77777777" w:rsidTr="005323F9">
        <w:tc>
          <w:tcPr>
            <w:tcW w:w="1303" w:type="dxa"/>
            <w:tcBorders>
              <w:top w:val="nil"/>
              <w:left w:val="single" w:sz="4" w:space="0" w:color="auto"/>
              <w:bottom w:val="single" w:sz="4" w:space="0" w:color="auto"/>
              <w:right w:val="single" w:sz="4" w:space="0" w:color="auto"/>
            </w:tcBorders>
            <w:vAlign w:val="bottom"/>
            <w:hideMark/>
          </w:tcPr>
          <w:p w14:paraId="7E434C86"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Gesamtsumme andere Länder</w:t>
            </w:r>
          </w:p>
        </w:tc>
        <w:tc>
          <w:tcPr>
            <w:tcW w:w="904" w:type="dxa"/>
            <w:tcBorders>
              <w:top w:val="nil"/>
              <w:left w:val="nil"/>
              <w:bottom w:val="single" w:sz="4" w:space="0" w:color="auto"/>
              <w:right w:val="single" w:sz="4" w:space="0" w:color="FFFFFF" w:themeColor="background1"/>
            </w:tcBorders>
            <w:vAlign w:val="bottom"/>
            <w:hideMark/>
          </w:tcPr>
          <w:p w14:paraId="76DBB467"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0,6</w:t>
            </w:r>
          </w:p>
        </w:tc>
        <w:tc>
          <w:tcPr>
            <w:tcW w:w="990" w:type="dxa"/>
            <w:tcBorders>
              <w:top w:val="nil"/>
              <w:left w:val="nil"/>
              <w:bottom w:val="single" w:sz="4" w:space="0" w:color="auto"/>
              <w:right w:val="single" w:sz="4" w:space="0" w:color="FFFFFF" w:themeColor="background1"/>
            </w:tcBorders>
            <w:vAlign w:val="bottom"/>
            <w:hideMark/>
          </w:tcPr>
          <w:p w14:paraId="65A4B9D8"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4.799,1</w:t>
            </w:r>
          </w:p>
        </w:tc>
        <w:tc>
          <w:tcPr>
            <w:tcW w:w="990" w:type="dxa"/>
            <w:tcBorders>
              <w:top w:val="nil"/>
              <w:left w:val="nil"/>
              <w:bottom w:val="single" w:sz="4" w:space="0" w:color="auto"/>
              <w:right w:val="single" w:sz="4" w:space="0" w:color="FFFFFF" w:themeColor="background1"/>
            </w:tcBorders>
            <w:vAlign w:val="bottom"/>
            <w:hideMark/>
          </w:tcPr>
          <w:p w14:paraId="7B7A78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8.745,6</w:t>
            </w:r>
          </w:p>
        </w:tc>
        <w:tc>
          <w:tcPr>
            <w:tcW w:w="673" w:type="dxa"/>
            <w:tcBorders>
              <w:top w:val="nil"/>
              <w:left w:val="nil"/>
              <w:bottom w:val="single" w:sz="4" w:space="0" w:color="auto"/>
              <w:right w:val="single" w:sz="4" w:space="0" w:color="auto"/>
            </w:tcBorders>
            <w:noWrap/>
            <w:vAlign w:val="bottom"/>
            <w:hideMark/>
          </w:tcPr>
          <w:p w14:paraId="2480AD3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82,2</w:t>
            </w:r>
          </w:p>
        </w:tc>
        <w:tc>
          <w:tcPr>
            <w:tcW w:w="829" w:type="dxa"/>
            <w:tcBorders>
              <w:top w:val="nil"/>
              <w:left w:val="single" w:sz="4" w:space="0" w:color="FFFFFF" w:themeColor="background1"/>
              <w:bottom w:val="single" w:sz="4" w:space="0" w:color="auto"/>
              <w:right w:val="single" w:sz="4" w:space="0" w:color="FFFFFF" w:themeColor="background1"/>
            </w:tcBorders>
            <w:vAlign w:val="bottom"/>
            <w:hideMark/>
          </w:tcPr>
          <w:p w14:paraId="778139FE"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0,1</w:t>
            </w:r>
          </w:p>
        </w:tc>
        <w:tc>
          <w:tcPr>
            <w:tcW w:w="854" w:type="dxa"/>
            <w:tcBorders>
              <w:top w:val="nil"/>
              <w:left w:val="nil"/>
              <w:bottom w:val="single" w:sz="4" w:space="0" w:color="auto"/>
              <w:right w:val="single" w:sz="4" w:space="0" w:color="FFFFFF" w:themeColor="background1"/>
            </w:tcBorders>
            <w:vAlign w:val="bottom"/>
            <w:hideMark/>
          </w:tcPr>
          <w:p w14:paraId="339AB584"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1.212,0</w:t>
            </w:r>
          </w:p>
        </w:tc>
        <w:tc>
          <w:tcPr>
            <w:tcW w:w="854" w:type="dxa"/>
            <w:tcBorders>
              <w:top w:val="nil"/>
              <w:left w:val="nil"/>
              <w:bottom w:val="single" w:sz="4" w:space="0" w:color="auto"/>
              <w:right w:val="single" w:sz="4" w:space="0" w:color="FFFFFF" w:themeColor="background1"/>
            </w:tcBorders>
            <w:vAlign w:val="bottom"/>
            <w:hideMark/>
          </w:tcPr>
          <w:p w14:paraId="513266B0"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653,9</w:t>
            </w:r>
          </w:p>
        </w:tc>
        <w:tc>
          <w:tcPr>
            <w:tcW w:w="673" w:type="dxa"/>
            <w:tcBorders>
              <w:top w:val="nil"/>
              <w:left w:val="nil"/>
              <w:bottom w:val="single" w:sz="4" w:space="0" w:color="auto"/>
              <w:right w:val="nil"/>
            </w:tcBorders>
            <w:noWrap/>
            <w:vAlign w:val="bottom"/>
            <w:hideMark/>
          </w:tcPr>
          <w:p w14:paraId="159A50B2"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-46,1</w:t>
            </w:r>
          </w:p>
        </w:tc>
        <w:tc>
          <w:tcPr>
            <w:tcW w:w="1102" w:type="dxa"/>
            <w:tcBorders>
              <w:top w:val="nil"/>
              <w:left w:val="single" w:sz="4" w:space="0" w:color="auto"/>
              <w:bottom w:val="single" w:sz="4" w:space="0" w:color="auto"/>
              <w:right w:val="single" w:sz="4" w:space="0" w:color="auto"/>
            </w:tcBorders>
            <w:noWrap/>
            <w:vAlign w:val="bottom"/>
            <w:hideMark/>
          </w:tcPr>
          <w:p w14:paraId="5C167F93" w14:textId="77777777" w:rsidR="005323F9" w:rsidRDefault="005323F9">
            <w:pPr>
              <w:jc w:val="right"/>
              <w:rPr>
                <w:rFonts w:cstheme="minorHAnsi"/>
                <w:color w:val="000000"/>
                <w:sz w:val="16"/>
                <w:szCs w:val="16"/>
                <w:lang w:val="de-DE" w:eastAsia="nl-BE"/>
              </w:rPr>
            </w:pPr>
            <w:r>
              <w:rPr>
                <w:rFonts w:cstheme="minorHAnsi"/>
                <w:color w:val="000000"/>
                <w:sz w:val="16"/>
                <w:szCs w:val="16"/>
                <w:lang w:val="de-DE" w:eastAsia="nl-BE"/>
              </w:rPr>
              <w:t>7,5</w:t>
            </w:r>
          </w:p>
        </w:tc>
      </w:tr>
      <w:tr w:rsidR="005323F9" w14:paraId="4E1A11F4" w14:textId="77777777" w:rsidTr="005323F9">
        <w:tc>
          <w:tcPr>
            <w:tcW w:w="1303" w:type="dxa"/>
            <w:tcBorders>
              <w:top w:val="nil"/>
              <w:left w:val="single" w:sz="4" w:space="0" w:color="auto"/>
              <w:bottom w:val="single" w:sz="4" w:space="0" w:color="auto"/>
              <w:right w:val="single" w:sz="4" w:space="0" w:color="auto"/>
            </w:tcBorders>
            <w:noWrap/>
            <w:vAlign w:val="bottom"/>
            <w:hideMark/>
          </w:tcPr>
          <w:p w14:paraId="4FC2629E" w14:textId="77777777" w:rsidR="005323F9" w:rsidRDefault="005323F9">
            <w:pPr>
              <w:rPr>
                <w:rFonts w:cstheme="minorHAnsi"/>
                <w:b/>
                <w:bCs/>
                <w:color w:val="000000"/>
                <w:sz w:val="16"/>
                <w:szCs w:val="16"/>
                <w:lang w:val="de-DE" w:eastAsia="nl-BE"/>
              </w:rPr>
            </w:pPr>
            <w:r>
              <w:rPr>
                <w:rFonts w:ascii="Calibri" w:hAnsi="Calibri" w:cstheme="minorHAnsi"/>
                <w:b/>
                <w:bCs/>
                <w:color w:val="000000"/>
                <w:sz w:val="16"/>
                <w:szCs w:val="16"/>
                <w:lang w:val="de-DE" w:eastAsia="nl-BE"/>
              </w:rPr>
              <w:t>Gesamtsumme</w:t>
            </w:r>
          </w:p>
        </w:tc>
        <w:tc>
          <w:tcPr>
            <w:tcW w:w="904" w:type="dxa"/>
            <w:tcBorders>
              <w:top w:val="nil"/>
              <w:left w:val="nil"/>
              <w:bottom w:val="single" w:sz="4" w:space="0" w:color="auto"/>
              <w:right w:val="nil"/>
            </w:tcBorders>
            <w:noWrap/>
            <w:vAlign w:val="bottom"/>
            <w:hideMark/>
          </w:tcPr>
          <w:p w14:paraId="6F4E1612"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100,0</w:t>
            </w:r>
          </w:p>
        </w:tc>
        <w:tc>
          <w:tcPr>
            <w:tcW w:w="990" w:type="dxa"/>
            <w:tcBorders>
              <w:top w:val="nil"/>
              <w:left w:val="nil"/>
              <w:bottom w:val="single" w:sz="4" w:space="0" w:color="auto"/>
              <w:right w:val="nil"/>
            </w:tcBorders>
            <w:noWrap/>
            <w:vAlign w:val="bottom"/>
            <w:hideMark/>
          </w:tcPr>
          <w:p w14:paraId="21B1A61B"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1.550.238,1</w:t>
            </w:r>
          </w:p>
        </w:tc>
        <w:tc>
          <w:tcPr>
            <w:tcW w:w="990" w:type="dxa"/>
            <w:tcBorders>
              <w:top w:val="nil"/>
              <w:left w:val="nil"/>
              <w:bottom w:val="single" w:sz="4" w:space="0" w:color="auto"/>
              <w:right w:val="nil"/>
            </w:tcBorders>
            <w:noWrap/>
            <w:vAlign w:val="bottom"/>
            <w:hideMark/>
          </w:tcPr>
          <w:p w14:paraId="373E0D23"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1.469.369,4</w:t>
            </w:r>
          </w:p>
        </w:tc>
        <w:tc>
          <w:tcPr>
            <w:tcW w:w="673" w:type="dxa"/>
            <w:tcBorders>
              <w:top w:val="nil"/>
              <w:left w:val="nil"/>
              <w:bottom w:val="single" w:sz="4" w:space="0" w:color="auto"/>
              <w:right w:val="single" w:sz="4" w:space="0" w:color="auto"/>
            </w:tcBorders>
            <w:noWrap/>
            <w:vAlign w:val="bottom"/>
            <w:hideMark/>
          </w:tcPr>
          <w:p w14:paraId="628ABB73"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-5,2</w:t>
            </w:r>
          </w:p>
        </w:tc>
        <w:tc>
          <w:tcPr>
            <w:tcW w:w="829" w:type="dxa"/>
            <w:tcBorders>
              <w:top w:val="nil"/>
              <w:left w:val="nil"/>
              <w:bottom w:val="single" w:sz="4" w:space="0" w:color="auto"/>
              <w:right w:val="nil"/>
            </w:tcBorders>
            <w:noWrap/>
            <w:vAlign w:val="bottom"/>
            <w:hideMark/>
          </w:tcPr>
          <w:p w14:paraId="7F460C68"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100,0</w:t>
            </w:r>
          </w:p>
        </w:tc>
        <w:tc>
          <w:tcPr>
            <w:tcW w:w="854" w:type="dxa"/>
            <w:tcBorders>
              <w:top w:val="nil"/>
              <w:left w:val="nil"/>
              <w:bottom w:val="single" w:sz="4" w:space="0" w:color="auto"/>
              <w:right w:val="nil"/>
            </w:tcBorders>
            <w:noWrap/>
            <w:vAlign w:val="bottom"/>
            <w:hideMark/>
          </w:tcPr>
          <w:p w14:paraId="3D56E59F"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860.767,6</w:t>
            </w:r>
          </w:p>
        </w:tc>
        <w:tc>
          <w:tcPr>
            <w:tcW w:w="854" w:type="dxa"/>
            <w:tcBorders>
              <w:top w:val="nil"/>
              <w:left w:val="nil"/>
              <w:bottom w:val="single" w:sz="4" w:space="0" w:color="auto"/>
              <w:right w:val="nil"/>
            </w:tcBorders>
            <w:noWrap/>
            <w:vAlign w:val="bottom"/>
            <w:hideMark/>
          </w:tcPr>
          <w:p w14:paraId="49B3D7B5"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869.142,5</w:t>
            </w:r>
          </w:p>
        </w:tc>
        <w:tc>
          <w:tcPr>
            <w:tcW w:w="673" w:type="dxa"/>
            <w:tcBorders>
              <w:top w:val="nil"/>
              <w:left w:val="nil"/>
              <w:bottom w:val="single" w:sz="4" w:space="0" w:color="auto"/>
              <w:right w:val="single" w:sz="4" w:space="0" w:color="auto"/>
            </w:tcBorders>
            <w:noWrap/>
            <w:vAlign w:val="bottom"/>
            <w:hideMark/>
          </w:tcPr>
          <w:p w14:paraId="13671785"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1,0</w:t>
            </w:r>
          </w:p>
        </w:tc>
        <w:tc>
          <w:tcPr>
            <w:tcW w:w="1102" w:type="dxa"/>
            <w:tcBorders>
              <w:top w:val="nil"/>
              <w:left w:val="nil"/>
              <w:bottom w:val="single" w:sz="4" w:space="0" w:color="auto"/>
              <w:right w:val="single" w:sz="4" w:space="0" w:color="auto"/>
            </w:tcBorders>
            <w:noWrap/>
            <w:vAlign w:val="bottom"/>
            <w:hideMark/>
          </w:tcPr>
          <w:p w14:paraId="74FDF7D8" w14:textId="77777777" w:rsidR="005323F9" w:rsidRDefault="005323F9">
            <w:pPr>
              <w:jc w:val="right"/>
              <w:rPr>
                <w:rFonts w:cstheme="minorHAnsi"/>
                <w:b/>
                <w:bCs/>
                <w:color w:val="000000"/>
                <w:sz w:val="16"/>
                <w:szCs w:val="16"/>
                <w:lang w:val="de-DE" w:eastAsia="nl-BE"/>
              </w:rPr>
            </w:pPr>
            <w:r>
              <w:rPr>
                <w:rFonts w:ascii="Calibri" w:hAnsi="Calibri" w:cstheme="minorHAnsi"/>
                <w:b/>
                <w:bCs/>
                <w:color w:val="000000"/>
                <w:sz w:val="16"/>
                <w:szCs w:val="16"/>
                <w:lang w:val="de-DE" w:eastAsia="nl-BE"/>
              </w:rPr>
              <w:t>59,2</w:t>
            </w:r>
          </w:p>
        </w:tc>
      </w:tr>
      <w:tr w:rsidR="005323F9" w14:paraId="1C001589" w14:textId="77777777" w:rsidTr="005323F9">
        <w:tc>
          <w:tcPr>
            <w:tcW w:w="1303" w:type="dxa"/>
            <w:noWrap/>
            <w:vAlign w:val="bottom"/>
            <w:hideMark/>
          </w:tcPr>
          <w:p w14:paraId="592F9A7A" w14:textId="77777777" w:rsidR="005323F9" w:rsidRDefault="005323F9">
            <w:pPr>
              <w:rPr>
                <w:rFonts w:cstheme="minorHAnsi"/>
                <w:color w:val="000000"/>
                <w:sz w:val="16"/>
                <w:szCs w:val="16"/>
                <w:lang w:val="de-DE" w:eastAsia="nl-BE"/>
              </w:rPr>
            </w:pPr>
            <w:r>
              <w:rPr>
                <w:rFonts w:cstheme="minorHAnsi"/>
                <w:color w:val="000000"/>
                <w:sz w:val="16"/>
                <w:szCs w:val="16"/>
                <w:lang w:val="de-DE" w:eastAsia="nl-BE"/>
              </w:rPr>
              <w:t>Quelle: INR</w:t>
            </w:r>
          </w:p>
        </w:tc>
        <w:tc>
          <w:tcPr>
            <w:tcW w:w="904" w:type="dxa"/>
            <w:noWrap/>
            <w:vAlign w:val="bottom"/>
            <w:hideMark/>
          </w:tcPr>
          <w:p w14:paraId="1246162F" w14:textId="77777777" w:rsidR="005323F9" w:rsidRDefault="005323F9">
            <w:pPr>
              <w:rPr>
                <w:rFonts w:cstheme="minorHAnsi"/>
                <w:color w:val="000000"/>
                <w:sz w:val="16"/>
                <w:szCs w:val="16"/>
                <w:lang w:val="de-DE" w:eastAsia="nl-BE"/>
              </w:rPr>
            </w:pPr>
          </w:p>
        </w:tc>
        <w:tc>
          <w:tcPr>
            <w:tcW w:w="990" w:type="dxa"/>
            <w:noWrap/>
            <w:vAlign w:val="bottom"/>
            <w:hideMark/>
          </w:tcPr>
          <w:p w14:paraId="25CDD714" w14:textId="77777777" w:rsidR="005323F9" w:rsidRDefault="005323F9">
            <w:pPr>
              <w:rPr>
                <w:lang w:val="en-GB" w:eastAsia="en-GB"/>
              </w:rPr>
            </w:pPr>
          </w:p>
        </w:tc>
        <w:tc>
          <w:tcPr>
            <w:tcW w:w="990" w:type="dxa"/>
            <w:noWrap/>
            <w:vAlign w:val="bottom"/>
            <w:hideMark/>
          </w:tcPr>
          <w:p w14:paraId="64C0D11C" w14:textId="77777777" w:rsidR="005323F9" w:rsidRDefault="005323F9">
            <w:pPr>
              <w:rPr>
                <w:lang w:val="en-GB" w:eastAsia="en-GB"/>
              </w:rPr>
            </w:pPr>
          </w:p>
        </w:tc>
        <w:tc>
          <w:tcPr>
            <w:tcW w:w="673" w:type="dxa"/>
            <w:noWrap/>
            <w:vAlign w:val="bottom"/>
            <w:hideMark/>
          </w:tcPr>
          <w:p w14:paraId="54231DE0" w14:textId="77777777" w:rsidR="005323F9" w:rsidRDefault="005323F9">
            <w:pPr>
              <w:rPr>
                <w:lang w:val="en-GB" w:eastAsia="en-GB"/>
              </w:rPr>
            </w:pPr>
          </w:p>
        </w:tc>
        <w:tc>
          <w:tcPr>
            <w:tcW w:w="829" w:type="dxa"/>
            <w:noWrap/>
            <w:vAlign w:val="bottom"/>
            <w:hideMark/>
          </w:tcPr>
          <w:p w14:paraId="623DFA22" w14:textId="77777777" w:rsidR="005323F9" w:rsidRDefault="005323F9">
            <w:pPr>
              <w:rPr>
                <w:lang w:val="en-GB" w:eastAsia="en-GB"/>
              </w:rPr>
            </w:pPr>
          </w:p>
        </w:tc>
        <w:tc>
          <w:tcPr>
            <w:tcW w:w="854" w:type="dxa"/>
            <w:noWrap/>
            <w:vAlign w:val="bottom"/>
            <w:hideMark/>
          </w:tcPr>
          <w:p w14:paraId="7EB1C96F" w14:textId="77777777" w:rsidR="005323F9" w:rsidRDefault="005323F9">
            <w:pPr>
              <w:rPr>
                <w:lang w:val="en-GB" w:eastAsia="en-GB"/>
              </w:rPr>
            </w:pPr>
          </w:p>
        </w:tc>
        <w:tc>
          <w:tcPr>
            <w:tcW w:w="854" w:type="dxa"/>
            <w:noWrap/>
            <w:vAlign w:val="bottom"/>
            <w:hideMark/>
          </w:tcPr>
          <w:p w14:paraId="0589946C" w14:textId="77777777" w:rsidR="005323F9" w:rsidRDefault="005323F9">
            <w:pPr>
              <w:rPr>
                <w:lang w:val="en-GB" w:eastAsia="en-GB"/>
              </w:rPr>
            </w:pPr>
          </w:p>
        </w:tc>
        <w:tc>
          <w:tcPr>
            <w:tcW w:w="673" w:type="dxa"/>
            <w:noWrap/>
            <w:vAlign w:val="bottom"/>
            <w:hideMark/>
          </w:tcPr>
          <w:p w14:paraId="0A0FB8B2" w14:textId="77777777" w:rsidR="005323F9" w:rsidRDefault="005323F9">
            <w:pPr>
              <w:rPr>
                <w:lang w:val="en-GB" w:eastAsia="en-GB"/>
              </w:rPr>
            </w:pPr>
          </w:p>
        </w:tc>
        <w:tc>
          <w:tcPr>
            <w:tcW w:w="1102" w:type="dxa"/>
            <w:noWrap/>
            <w:vAlign w:val="bottom"/>
            <w:hideMark/>
          </w:tcPr>
          <w:p w14:paraId="182D46C1" w14:textId="77777777" w:rsidR="005323F9" w:rsidRDefault="005323F9">
            <w:pPr>
              <w:rPr>
                <w:lang w:val="en-GB" w:eastAsia="en-GB"/>
              </w:rPr>
            </w:pPr>
          </w:p>
        </w:tc>
      </w:tr>
    </w:tbl>
    <w:p w14:paraId="0D973146" w14:textId="77777777" w:rsidR="00D16ED2" w:rsidRDefault="00D16ED2" w:rsidP="00D16ED2">
      <w:pPr>
        <w:rPr>
          <w:rFonts w:cstheme="minorHAnsi"/>
        </w:rPr>
      </w:pPr>
      <w:r>
        <w:rPr>
          <w:rFonts w:cstheme="minorHAnsi"/>
        </w:rPr>
        <w:br w:type="page"/>
      </w:r>
    </w:p>
    <w:p w14:paraId="340B78A9" w14:textId="77777777" w:rsidR="005323F9" w:rsidRDefault="005323F9" w:rsidP="005323F9">
      <w:pPr>
        <w:spacing w:line="256" w:lineRule="auto"/>
        <w:jc w:val="both"/>
        <w:rPr>
          <w:rFonts w:ascii="Calibri" w:eastAsia="Calibri" w:hAnsi="Calibri" w:cs="Calibri"/>
          <w:b/>
          <w:bCs/>
          <w:u w:val="single"/>
          <w:lang w:val="de-DE"/>
        </w:rPr>
      </w:pPr>
      <w:r>
        <w:rPr>
          <w:rFonts w:ascii="Calibri" w:eastAsia="Calibri" w:hAnsi="Calibri" w:cs="Calibri"/>
          <w:b/>
          <w:bCs/>
          <w:u w:val="single"/>
          <w:lang w:val="de-DE"/>
        </w:rPr>
        <w:lastRenderedPageBreak/>
        <w:t>Die Aussichten: Erwartete Schwächung der wirtschaftlichen Aktivität in den Jahren 2022 und 2023</w:t>
      </w:r>
    </w:p>
    <w:p w14:paraId="3720AA2F" w14:textId="77777777" w:rsidR="005323F9" w:rsidRDefault="005323F9" w:rsidP="005323F9">
      <w:pPr>
        <w:spacing w:line="256" w:lineRule="auto"/>
        <w:jc w:val="both"/>
        <w:rPr>
          <w:rFonts w:ascii="Calibri" w:eastAsia="Calibri" w:hAnsi="Calibri" w:cs="Calibri"/>
          <w:lang w:val="de-DE"/>
        </w:rPr>
      </w:pPr>
    </w:p>
    <w:p w14:paraId="7B2DAF27" w14:textId="77777777" w:rsidR="005323F9" w:rsidRDefault="005323F9" w:rsidP="005323F9">
      <w:pPr>
        <w:spacing w:line="256" w:lineRule="auto"/>
        <w:jc w:val="both"/>
        <w:rPr>
          <w:rFonts w:ascii="Times New Roman" w:eastAsia="Times New Roman" w:hAnsi="Times New Roman" w:cs="Times New Roman"/>
          <w:sz w:val="20"/>
          <w:szCs w:val="20"/>
          <w:lang w:val="de-DE"/>
        </w:rPr>
      </w:pPr>
      <w:r>
        <w:rPr>
          <w:rFonts w:ascii="Calibri" w:eastAsia="Calibri" w:hAnsi="Calibri" w:cs="Calibri"/>
          <w:lang w:val="de-DE"/>
        </w:rPr>
        <w:t xml:space="preserve">Dem Wirtschaftsaufschwung nach der Coronakrise wurde im Herbst 2022 Einhalt geboten. Die russische Invasion in der Ukraine hat zu einer noch nie dagewesenen Explosion der Energiepreise in der EU geführt, erneut mit Störungen in der Anlieferung von Rohstoffen und Materialien. Die hohen Rohstoff- und Energiepreise sowie auch die rasch steigenden Lohnkosten aufgrund der anhaltenden Inflation wirken sich negativ auf die wirtschaftlichen Aktivitäten aus. Der erwartete wirtschaftliche Rückfall in der EU sowie auch die rückläufige Konjunktur im Bausektor haben starke negative Auswirkungen auf die Möbelindustrie. Darüber hinaus reduziert der westliche Verbraucher seine Ausgaben, weil zu viel Kaufkraft in die teure Energierechnung fließt. </w:t>
      </w:r>
    </w:p>
    <w:p w14:paraId="22A56275" w14:textId="77777777" w:rsidR="005323F9" w:rsidRDefault="005323F9" w:rsidP="005323F9">
      <w:pPr>
        <w:spacing w:line="256" w:lineRule="auto"/>
        <w:jc w:val="both"/>
        <w:rPr>
          <w:rFonts w:ascii="Calibri" w:eastAsia="Calibri" w:hAnsi="Calibri" w:cs="Calibri"/>
          <w:lang w:val="de-DE"/>
        </w:rPr>
      </w:pPr>
    </w:p>
    <w:p w14:paraId="3DBEDC93" w14:textId="77777777" w:rsidR="005323F9" w:rsidRDefault="005323F9" w:rsidP="005323F9">
      <w:pPr>
        <w:spacing w:line="256" w:lineRule="auto"/>
        <w:jc w:val="both"/>
        <w:rPr>
          <w:rFonts w:ascii="Calibri" w:eastAsia="Calibri" w:hAnsi="Calibri" w:cs="Calibri"/>
          <w:lang w:val="de-DE"/>
        </w:rPr>
      </w:pPr>
      <w:r>
        <w:rPr>
          <w:rFonts w:ascii="Calibri" w:eastAsia="Calibri" w:hAnsi="Calibri" w:cs="Calibri"/>
          <w:lang w:val="de-DE"/>
        </w:rPr>
        <w:t>Den Prognosen des Föderalen Planbüros zufolge (Pressemitteilung vom 8. September 2022) soll die belgischen Wirtschaft im Jahr 2022 um 2,6% wachsen, und um lediglich 0,5% im Jahr 2023. Durch die galoppierende Inflation wird das Wirtschaftswachstum im vierten Quartal 2022 und im ersten Quartal 2023 zum Erliegen kommen. In der EU, dem wichtigsten Exportgebiet für die Möbelindustrie, soll das Wirtschaftswachstum im Jahr 2022 2,7% betragen. Im Jahr 2023 soll die EU-Wirtschaft erwartungsgemäß um 1,5% steigen (EU-Wirtschaftsprognosen Sommer 2022).</w:t>
      </w:r>
    </w:p>
    <w:p w14:paraId="5E20C479" w14:textId="77777777" w:rsidR="005323F9" w:rsidRDefault="005323F9" w:rsidP="005323F9">
      <w:pPr>
        <w:spacing w:line="256" w:lineRule="auto"/>
        <w:jc w:val="both"/>
        <w:rPr>
          <w:rFonts w:ascii="Calibri" w:eastAsia="Calibri" w:hAnsi="Calibri" w:cs="Calibri"/>
          <w:lang w:val="de-DE"/>
        </w:rPr>
      </w:pPr>
    </w:p>
    <w:p w14:paraId="2A1E4454" w14:textId="77777777" w:rsidR="005323F9" w:rsidRDefault="005323F9" w:rsidP="005323F9">
      <w:pPr>
        <w:spacing w:line="256" w:lineRule="auto"/>
        <w:jc w:val="both"/>
        <w:rPr>
          <w:rFonts w:ascii="Times New Roman" w:eastAsia="Times New Roman" w:hAnsi="Times New Roman" w:cs="Times New Roman"/>
          <w:sz w:val="20"/>
          <w:szCs w:val="20"/>
          <w:lang w:val="de-DE"/>
        </w:rPr>
      </w:pPr>
      <w:r>
        <w:rPr>
          <w:rFonts w:ascii="Calibri" w:eastAsia="Calibri" w:hAnsi="Calibri" w:cs="Calibri"/>
          <w:lang w:val="de-DE"/>
        </w:rPr>
        <w:t xml:space="preserve">Die erwartete Schwächung der wirtschaftlichen Aktivität in den Jahren 2022 und 2023 in Belgien und in der EU führt dazu, dass die Perspektiven für eine Zunahme der Aktivität in der Möbelindustrie sehr düster sind.   </w:t>
      </w:r>
    </w:p>
    <w:p w14:paraId="28238503" w14:textId="77777777" w:rsidR="00D16ED2" w:rsidRPr="000A65D4" w:rsidRDefault="00D16ED2" w:rsidP="00D16ED2">
      <w:pPr>
        <w:jc w:val="both"/>
        <w:rPr>
          <w:lang w:val="de-DE"/>
        </w:rPr>
      </w:pPr>
    </w:p>
    <w:p w14:paraId="75B29BAE" w14:textId="77777777" w:rsidR="00D16ED2" w:rsidRPr="000A65D4" w:rsidRDefault="00D16ED2" w:rsidP="00D16ED2">
      <w:pPr>
        <w:tabs>
          <w:tab w:val="left" w:pos="3884"/>
        </w:tabs>
        <w:ind w:right="28"/>
        <w:jc w:val="both"/>
        <w:rPr>
          <w:rFonts w:cstheme="minorHAnsi"/>
          <w:highlight w:val="yellow"/>
          <w:lang w:val="de-DE"/>
        </w:rPr>
      </w:pPr>
    </w:p>
    <w:p w14:paraId="600B4903" w14:textId="77777777" w:rsidR="00D16ED2" w:rsidRPr="000A65D4" w:rsidRDefault="00D16ED2" w:rsidP="00D16ED2">
      <w:pPr>
        <w:pStyle w:val="BodyText"/>
        <w:pBdr>
          <w:bottom w:val="single" w:sz="4" w:space="1" w:color="auto"/>
        </w:pBdr>
        <w:rPr>
          <w:rFonts w:asciiTheme="minorHAnsi" w:hAnsiTheme="minorHAnsi" w:cstheme="minorHAnsi"/>
          <w:highlight w:val="yellow"/>
          <w:lang w:val="de-DE"/>
        </w:rPr>
      </w:pPr>
    </w:p>
    <w:p w14:paraId="2BFCDA06" w14:textId="77777777" w:rsidR="00D16ED2" w:rsidRPr="000A65D4" w:rsidRDefault="00D16ED2" w:rsidP="00D16ED2">
      <w:pPr>
        <w:pStyle w:val="BodyText"/>
        <w:pBdr>
          <w:bottom w:val="single" w:sz="4" w:space="1" w:color="auto"/>
        </w:pBdr>
        <w:rPr>
          <w:rFonts w:asciiTheme="minorHAnsi" w:hAnsiTheme="minorHAnsi" w:cstheme="minorBidi"/>
          <w:lang w:val="de-DE"/>
        </w:rPr>
      </w:pPr>
    </w:p>
    <w:p w14:paraId="1E44DB2B" w14:textId="77777777" w:rsidR="00D16ED2" w:rsidRPr="000A65D4" w:rsidRDefault="00D16ED2" w:rsidP="00D16ED2">
      <w:pPr>
        <w:rPr>
          <w:lang w:val="de-DE"/>
        </w:rPr>
      </w:pPr>
    </w:p>
    <w:p w14:paraId="5298C2EF" w14:textId="77777777" w:rsidR="00D16ED2" w:rsidRPr="000A65D4" w:rsidRDefault="00D16ED2" w:rsidP="00D16ED2">
      <w:pPr>
        <w:rPr>
          <w:lang w:val="de-DE"/>
        </w:rPr>
      </w:pPr>
    </w:p>
    <w:p w14:paraId="46DFB619" w14:textId="77777777" w:rsidR="005323F9" w:rsidRDefault="005323F9" w:rsidP="005323F9">
      <w:pPr>
        <w:pStyle w:val="BodyText"/>
        <w:rPr>
          <w:rFonts w:asciiTheme="minorHAnsi" w:hAnsiTheme="minorHAnsi" w:cstheme="minorBidi"/>
          <w:noProof w:val="0"/>
          <w:lang w:val="de-DE"/>
        </w:rPr>
      </w:pPr>
      <w:r>
        <w:rPr>
          <w:rFonts w:asciiTheme="minorHAnsi" w:hAnsiTheme="minorHAnsi" w:cstheme="minorBidi"/>
          <w:noProof w:val="0"/>
          <w:lang w:val="de-DE"/>
        </w:rPr>
        <w:t xml:space="preserve">Quelle: </w:t>
      </w:r>
      <w:proofErr w:type="spellStart"/>
      <w:r>
        <w:rPr>
          <w:rFonts w:asciiTheme="minorHAnsi" w:hAnsiTheme="minorHAnsi" w:cstheme="minorBidi"/>
          <w:noProof w:val="0"/>
          <w:lang w:val="de-DE"/>
        </w:rPr>
        <w:t>Fedustria</w:t>
      </w:r>
      <w:proofErr w:type="spellEnd"/>
    </w:p>
    <w:p w14:paraId="0F59C71C" w14:textId="77777777" w:rsidR="005323F9" w:rsidRDefault="005323F9" w:rsidP="005323F9">
      <w:pPr>
        <w:pStyle w:val="BodyText"/>
        <w:rPr>
          <w:rFonts w:asciiTheme="minorHAnsi" w:hAnsiTheme="minorHAnsi" w:cstheme="minorBidi"/>
          <w:noProof w:val="0"/>
          <w:lang w:val="de-DE"/>
        </w:rPr>
      </w:pPr>
    </w:p>
    <w:p w14:paraId="0238317A" w14:textId="77777777" w:rsidR="005323F9" w:rsidRDefault="005323F9" w:rsidP="005323F9">
      <w:pPr>
        <w:jc w:val="both"/>
        <w:textAlignment w:val="center"/>
        <w:rPr>
          <w:lang w:val="de-DE"/>
        </w:rPr>
      </w:pPr>
      <w:proofErr w:type="spellStart"/>
      <w:r>
        <w:rPr>
          <w:rFonts w:ascii="Calibri" w:hAnsi="Calibri"/>
          <w:i/>
          <w:iCs/>
          <w:lang w:val="de-DE"/>
        </w:rPr>
        <w:t>Fedustria</w:t>
      </w:r>
      <w:proofErr w:type="spellEnd"/>
      <w:r>
        <w:rPr>
          <w:rFonts w:ascii="Calibri" w:hAnsi="Calibri"/>
          <w:i/>
          <w:iCs/>
          <w:lang w:val="de-DE"/>
        </w:rPr>
        <w:t xml:space="preserve"> ist der Belgische Verband der Textil-, Holz- und Möbelindustrie. Wir vertreten in Belgien ungefähr 1.700 Unternehmen (davon sind mehr als 90% KMUs), die zusammen 36.000 direkte Arbeitsplätze schaffen und einen Umsatz von 10,9 Milliarden Euro erzielen (davon ca. 70% aus dem Export).</w:t>
      </w:r>
    </w:p>
    <w:p w14:paraId="40CEC08E" w14:textId="77777777" w:rsidR="005323F9" w:rsidRDefault="005323F9" w:rsidP="005323F9">
      <w:pPr>
        <w:pStyle w:val="BodyText"/>
        <w:rPr>
          <w:rFonts w:asciiTheme="minorHAnsi" w:hAnsiTheme="minorHAnsi" w:cstheme="minorBidi"/>
          <w:i/>
          <w:iCs/>
          <w:noProof w:val="0"/>
          <w:lang w:val="de-DE"/>
        </w:rPr>
      </w:pPr>
    </w:p>
    <w:p w14:paraId="56BDDA02" w14:textId="77777777" w:rsidR="005323F9" w:rsidRDefault="005323F9" w:rsidP="005323F9">
      <w:pPr>
        <w:pStyle w:val="BodyText"/>
        <w:rPr>
          <w:rFonts w:asciiTheme="minorHAnsi" w:hAnsiTheme="minorHAnsi" w:cstheme="minorBidi"/>
          <w:i/>
          <w:iCs/>
          <w:noProof w:val="0"/>
          <w:lang w:val="de-DE"/>
        </w:rPr>
      </w:pPr>
      <w:r>
        <w:rPr>
          <w:rFonts w:ascii="Calibri" w:hAnsi="Calibri" w:cstheme="minorBidi"/>
          <w:i/>
          <w:iCs/>
          <w:noProof w:val="0"/>
          <w:lang w:val="de-DE"/>
        </w:rPr>
        <w:t>Separat betrachtet steht die belgische Möbelindustrie für einen Umsatz von 2,3 Milliarden Euro und hat ungefähr 10.000 Arbeitnehmer.</w:t>
      </w:r>
    </w:p>
    <w:p w14:paraId="4C616813" w14:textId="77777777" w:rsidR="005323F9" w:rsidRDefault="005323F9" w:rsidP="005323F9">
      <w:pPr>
        <w:pStyle w:val="BodyText"/>
        <w:rPr>
          <w:rFonts w:asciiTheme="minorHAnsi" w:hAnsiTheme="minorHAnsi" w:cstheme="minorBidi"/>
          <w:i/>
          <w:iCs/>
          <w:noProof w:val="0"/>
          <w:lang w:val="de-DE"/>
        </w:rPr>
      </w:pPr>
    </w:p>
    <w:p w14:paraId="4FE28994" w14:textId="77777777" w:rsidR="005323F9" w:rsidRDefault="005323F9" w:rsidP="005323F9">
      <w:pPr>
        <w:pStyle w:val="BodyText"/>
        <w:tabs>
          <w:tab w:val="left" w:pos="720"/>
        </w:tabs>
        <w:rPr>
          <w:rFonts w:asciiTheme="minorHAnsi" w:hAnsiTheme="minorHAnsi" w:cstheme="minorBidi"/>
          <w:noProof w:val="0"/>
          <w:lang w:val="de-DE"/>
        </w:rPr>
      </w:pPr>
      <w:r>
        <w:rPr>
          <w:rFonts w:ascii="Calibri" w:hAnsi="Calibri" w:cstheme="minorBidi"/>
          <w:noProof w:val="0"/>
          <w:lang w:val="de-DE"/>
        </w:rPr>
        <w:t xml:space="preserve">Für weitere Informationen wenden Sie sich bitte an: </w:t>
      </w:r>
    </w:p>
    <w:p w14:paraId="40C4C317" w14:textId="77777777" w:rsidR="005323F9" w:rsidRDefault="005323F9" w:rsidP="005323F9">
      <w:pPr>
        <w:pStyle w:val="BodyText"/>
        <w:tabs>
          <w:tab w:val="left" w:pos="720"/>
        </w:tabs>
        <w:rPr>
          <w:rStyle w:val="Hyperlink"/>
          <w:rFonts w:eastAsiaTheme="minorEastAsia"/>
          <w:color w:val="auto"/>
        </w:rPr>
      </w:pPr>
      <w:r>
        <w:rPr>
          <w:rFonts w:asciiTheme="minorHAnsi" w:hAnsiTheme="minorHAnsi" w:cstheme="minorBidi"/>
          <w:noProof w:val="0"/>
          <w:lang w:val="de-DE"/>
        </w:rPr>
        <w:t>Filip De Jaeger, T 02/528 58 61, Mobiltelefon 0486/89 81 84, E-Mail filip.de.jaeger@fedustria.be</w:t>
      </w:r>
    </w:p>
    <w:p w14:paraId="4A7602C1" w14:textId="77777777" w:rsidR="00D16ED2" w:rsidRPr="00536AE5" w:rsidRDefault="00D16ED2" w:rsidP="00D16ED2">
      <w:pPr>
        <w:tabs>
          <w:tab w:val="left" w:pos="5387"/>
        </w:tabs>
        <w:jc w:val="both"/>
        <w:rPr>
          <w:rFonts w:cstheme="minorHAnsi"/>
          <w:lang w:val="nl-BE"/>
        </w:rPr>
      </w:pPr>
    </w:p>
    <w:p w14:paraId="3B82DB42" w14:textId="77777777" w:rsidR="00D16ED2" w:rsidRDefault="00D16ED2">
      <w:pPr>
        <w:rPr>
          <w:lang w:val="nl-BE"/>
        </w:rPr>
      </w:pPr>
    </w:p>
    <w:p w14:paraId="572A3526" w14:textId="2F542D97" w:rsidR="00F6785F" w:rsidRPr="000A65D4" w:rsidRDefault="00F6785F" w:rsidP="00F6785F">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Bidi"/>
          <w:lang w:val="de-DE"/>
        </w:rPr>
      </w:pPr>
      <w:r w:rsidRPr="000A65D4">
        <w:rPr>
          <w:rFonts w:asciiTheme="minorHAnsi" w:hAnsiTheme="minorHAnsi" w:cstheme="minorHAnsi"/>
          <w:b/>
          <w:i w:val="0"/>
          <w:color w:val="auto"/>
          <w:sz w:val="36"/>
          <w:szCs w:val="36"/>
          <w:lang w:val="de-DE"/>
        </w:rPr>
        <w:lastRenderedPageBreak/>
        <w:t>D</w:t>
      </w:r>
      <w:r w:rsidR="000A65D4" w:rsidRPr="000A65D4">
        <w:rPr>
          <w:rFonts w:asciiTheme="minorHAnsi" w:hAnsiTheme="minorHAnsi" w:cstheme="minorHAnsi"/>
          <w:b/>
          <w:i w:val="0"/>
          <w:color w:val="auto"/>
          <w:sz w:val="36"/>
          <w:szCs w:val="36"/>
          <w:lang w:val="de-DE"/>
        </w:rPr>
        <w:t>I</w:t>
      </w:r>
      <w:r w:rsidRPr="000A65D4">
        <w:rPr>
          <w:rFonts w:asciiTheme="minorHAnsi" w:hAnsiTheme="minorHAnsi" w:cstheme="minorHAnsi"/>
          <w:b/>
          <w:i w:val="0"/>
          <w:color w:val="auto"/>
          <w:sz w:val="36"/>
          <w:szCs w:val="36"/>
          <w:lang w:val="de-DE"/>
        </w:rPr>
        <w:t xml:space="preserve">E </w:t>
      </w:r>
      <w:r w:rsidR="000A65D4" w:rsidRPr="000A65D4">
        <w:rPr>
          <w:rFonts w:asciiTheme="minorHAnsi" w:hAnsiTheme="minorHAnsi" w:cstheme="minorHAnsi"/>
          <w:b/>
          <w:i w:val="0"/>
          <w:color w:val="auto"/>
          <w:sz w:val="36"/>
          <w:szCs w:val="36"/>
          <w:lang w:val="de-DE"/>
        </w:rPr>
        <w:t>BRÜSSELER MÖBELMESSE</w:t>
      </w:r>
      <w:r w:rsidRPr="000A65D4">
        <w:rPr>
          <w:rFonts w:asciiTheme="minorHAnsi" w:hAnsiTheme="minorHAnsi" w:cstheme="minorHAnsi"/>
          <w:b/>
          <w:i w:val="0"/>
          <w:color w:val="auto"/>
          <w:sz w:val="36"/>
          <w:szCs w:val="36"/>
          <w:lang w:val="de-DE"/>
        </w:rPr>
        <w:t xml:space="preserve"> 2022</w:t>
      </w:r>
    </w:p>
    <w:p w14:paraId="0945E1A1" w14:textId="77777777" w:rsidR="00F6785F" w:rsidRPr="000A65D4" w:rsidRDefault="00F6785F" w:rsidP="00F6785F">
      <w:pPr>
        <w:pBdr>
          <w:top w:val="single" w:sz="4" w:space="1" w:color="auto"/>
          <w:left w:val="single" w:sz="4" w:space="1" w:color="auto"/>
          <w:bottom w:val="single" w:sz="4" w:space="1" w:color="auto"/>
          <w:right w:val="single" w:sz="4" w:space="1" w:color="auto"/>
        </w:pBdr>
        <w:rPr>
          <w:rFonts w:cstheme="minorHAnsi"/>
          <w:lang w:val="de-DE"/>
        </w:rPr>
      </w:pPr>
    </w:p>
    <w:p w14:paraId="562B0DA4" w14:textId="130881CC" w:rsidR="00735310" w:rsidRPr="000A65D4" w:rsidRDefault="00735310">
      <w:pPr>
        <w:rPr>
          <w:lang w:val="de-DE"/>
        </w:rPr>
      </w:pPr>
    </w:p>
    <w:p w14:paraId="5AAC2D29" w14:textId="77777777" w:rsidR="000A65D4" w:rsidRPr="000A65D4" w:rsidRDefault="000A65D4" w:rsidP="000A65D4">
      <w:pPr>
        <w:rPr>
          <w:lang w:val="de-DE"/>
        </w:rPr>
      </w:pPr>
      <w:r w:rsidRPr="000A65D4">
        <w:rPr>
          <w:lang w:val="de-DE"/>
        </w:rPr>
        <w:t>In den nächsten 15 bis 20 Minuten wollen wir Sie nicht zu sehr mit weiteren Zahlen belästigen, daher werden wir uns kurz fassen. Dieses Jahr hatten wir die Ehre, 215 Möbelhersteller begrüßen zu dürfen. Im Vergleich zum letzten Jahr ist das ein Zuwachs von 47 Ausstellern.</w:t>
      </w:r>
    </w:p>
    <w:p w14:paraId="1A4D6440" w14:textId="77777777" w:rsidR="000A65D4" w:rsidRPr="000A65D4" w:rsidRDefault="000A65D4" w:rsidP="000A65D4">
      <w:pPr>
        <w:rPr>
          <w:lang w:val="de-DE"/>
        </w:rPr>
      </w:pPr>
      <w:r w:rsidRPr="000A65D4">
        <w:rPr>
          <w:lang w:val="de-DE"/>
        </w:rPr>
        <w:t>Was uns jedoch am meisten freut, ist die Tatsache, dass dieser Anstieg unsere internationale Identität weiter bestätigt. Ein Trend, den wir in den kommenden Jahren noch verstärken wollen. Dieses Jahr haben wir zum Beispiel 7 neue Aussteller aus Skandinavien.</w:t>
      </w:r>
    </w:p>
    <w:p w14:paraId="0CF72423" w14:textId="77777777" w:rsidR="000A65D4" w:rsidRPr="000A65D4" w:rsidRDefault="000A65D4" w:rsidP="000A65D4">
      <w:pPr>
        <w:rPr>
          <w:lang w:val="de-DE"/>
        </w:rPr>
      </w:pPr>
      <w:r w:rsidRPr="000A65D4">
        <w:rPr>
          <w:lang w:val="de-DE"/>
        </w:rPr>
        <w:t>Was die Besucherzahlen betrifft, so haben wir bei den Vorregistrierungen einen Status quo festgestellt. Da unsere VIP-Besucher schnell auf unsere Einladungen reagiert haben, erwarten oder hoffen wir zumindest auf einen leichten Anstieg der Besucherzahlen im Vergleich zum letzten Jahr. Da die meisten unserer Besucher aus Europa kommen, sind wir glücklicherweise nicht allzu sehr von den aktuellen internationalen Konflikten betroffen. Aber für die kommenden Jahre sind wir zuversichtlich, dass die Besucherzahlen deutlich steigen können! Wir werden uns an neue Regionen wenden, an Menschen, die auf dem Vertragsmarkt tätig sind, aber wir wollen auch unseren Bekanntheitsgrad erhöhen, indem wir das ganze Jahr über intensiv kommunizieren und regelmäßig nützliche Informationen verbreiten.</w:t>
      </w:r>
    </w:p>
    <w:p w14:paraId="51B85DF2" w14:textId="77777777" w:rsidR="000A65D4" w:rsidRPr="000A65D4" w:rsidRDefault="000A65D4" w:rsidP="000A65D4">
      <w:pPr>
        <w:rPr>
          <w:lang w:val="de-DE"/>
        </w:rPr>
      </w:pPr>
      <w:r w:rsidRPr="000A65D4">
        <w:rPr>
          <w:lang w:val="de-DE"/>
        </w:rPr>
        <w:t>Wie Sie alle gelesen und geschrieben haben, hat die Brüsseler Möbelmesse vor kurzem ihre Leitung und damit ihre Ausrichtung geändert. Unser Plan sieht keine vollständige Umgestaltung vor, sondern Verbesserungen dort, wo wir sie für notwendig halten, und eine bessere Nutzung unserer Stärken.</w:t>
      </w:r>
    </w:p>
    <w:p w14:paraId="28F8ED20" w14:textId="77777777" w:rsidR="000A65D4" w:rsidRPr="000A65D4" w:rsidRDefault="000A65D4" w:rsidP="000A65D4">
      <w:pPr>
        <w:rPr>
          <w:lang w:val="de-DE"/>
        </w:rPr>
      </w:pPr>
      <w:r w:rsidRPr="000A65D4">
        <w:rPr>
          <w:lang w:val="de-DE"/>
        </w:rPr>
        <w:t>Um dies zu erreichen, wollen wir uns auf 3 Schlüsselbereiche konzentrieren: Realismus, Sicherheit und die Schaffung eines unvergesslichen Erlebnisses für unsere Besucher.</w:t>
      </w:r>
    </w:p>
    <w:p w14:paraId="6CBA26C1" w14:textId="77777777" w:rsidR="000A65D4" w:rsidRDefault="000A65D4" w:rsidP="000A65D4">
      <w:pPr>
        <w:rPr>
          <w:lang w:val="nl-BE"/>
        </w:rPr>
      </w:pPr>
      <w:r w:rsidRPr="000A65D4">
        <w:rPr>
          <w:lang w:val="de-DE"/>
        </w:rPr>
        <w:t xml:space="preserve">Die Möbelmesse war schon immer eine sehr realistische und effiziente Messe. Einerseits für unsere Besucher, die eine Messe in "Volksgröße" besuchen können, auf der sie ein sehr breites und marktorientiertes Angebot finden. Andererseits für unsere Aussteller, die zu einem realistischeren Quadratmeterpreis teilnehmen können und von unserem erfahrenen Team für eine effiziente und damit reibungslose Organisation profitieren. </w:t>
      </w:r>
      <w:proofErr w:type="spellStart"/>
      <w:r w:rsidRPr="000A65D4">
        <w:rPr>
          <w:lang w:val="nl-BE"/>
        </w:rPr>
        <w:t>Wir</w:t>
      </w:r>
      <w:proofErr w:type="spellEnd"/>
      <w:r w:rsidRPr="000A65D4">
        <w:rPr>
          <w:lang w:val="nl-BE"/>
        </w:rPr>
        <w:t xml:space="preserve"> wollen </w:t>
      </w:r>
      <w:proofErr w:type="spellStart"/>
      <w:r w:rsidRPr="000A65D4">
        <w:rPr>
          <w:lang w:val="nl-BE"/>
        </w:rPr>
        <w:t>dieses</w:t>
      </w:r>
      <w:proofErr w:type="spellEnd"/>
      <w:r w:rsidRPr="000A65D4">
        <w:rPr>
          <w:lang w:val="nl-BE"/>
        </w:rPr>
        <w:t xml:space="preserve"> Element der </w:t>
      </w:r>
      <w:proofErr w:type="spellStart"/>
      <w:r w:rsidRPr="000A65D4">
        <w:rPr>
          <w:lang w:val="nl-BE"/>
        </w:rPr>
        <w:t>Vergangenheit</w:t>
      </w:r>
      <w:proofErr w:type="spellEnd"/>
      <w:r w:rsidRPr="000A65D4">
        <w:rPr>
          <w:lang w:val="nl-BE"/>
        </w:rPr>
        <w:t xml:space="preserve"> </w:t>
      </w:r>
      <w:proofErr w:type="spellStart"/>
      <w:r w:rsidRPr="000A65D4">
        <w:rPr>
          <w:lang w:val="nl-BE"/>
        </w:rPr>
        <w:t>unbedingt</w:t>
      </w:r>
      <w:proofErr w:type="spellEnd"/>
      <w:r w:rsidRPr="000A65D4">
        <w:rPr>
          <w:lang w:val="nl-BE"/>
        </w:rPr>
        <w:t xml:space="preserve"> </w:t>
      </w:r>
      <w:proofErr w:type="spellStart"/>
      <w:r w:rsidRPr="000A65D4">
        <w:rPr>
          <w:lang w:val="nl-BE"/>
        </w:rPr>
        <w:t>bewahren</w:t>
      </w:r>
      <w:proofErr w:type="spellEnd"/>
      <w:r w:rsidRPr="000A65D4">
        <w:rPr>
          <w:lang w:val="nl-BE"/>
        </w:rPr>
        <w:t xml:space="preserve"> </w:t>
      </w:r>
      <w:proofErr w:type="spellStart"/>
      <w:r w:rsidRPr="000A65D4">
        <w:rPr>
          <w:lang w:val="nl-BE"/>
        </w:rPr>
        <w:t>und</w:t>
      </w:r>
      <w:proofErr w:type="spellEnd"/>
      <w:r w:rsidRPr="000A65D4">
        <w:rPr>
          <w:lang w:val="nl-BE"/>
        </w:rPr>
        <w:t xml:space="preserve"> </w:t>
      </w:r>
      <w:proofErr w:type="spellStart"/>
      <w:r w:rsidRPr="000A65D4">
        <w:rPr>
          <w:lang w:val="nl-BE"/>
        </w:rPr>
        <w:t>stärken</w:t>
      </w:r>
      <w:proofErr w:type="spellEnd"/>
      <w:r w:rsidRPr="000A65D4">
        <w:rPr>
          <w:lang w:val="nl-BE"/>
        </w:rPr>
        <w:t>!</w:t>
      </w:r>
    </w:p>
    <w:p w14:paraId="684BC014" w14:textId="77777777" w:rsidR="000A65D4" w:rsidRPr="000A65D4" w:rsidRDefault="000A65D4">
      <w:pPr>
        <w:rPr>
          <w:lang w:val="de-DE"/>
        </w:rPr>
      </w:pPr>
      <w:r w:rsidRPr="000A65D4">
        <w:rPr>
          <w:lang w:val="de-DE"/>
        </w:rPr>
        <w:t>Der zweite und vielleicht wichtigste Schwerpunkt: Zuverlässigkeit! Gerade in diesen Krisenzeiten, oder zumindest in einer Zeit voller Unsicherheiten und Zukunftsfragen, will Brüssel ein Bezugspunkt für den gesamten Sektor sein. Eine Messe zum Leben zu erwecken, bedeutet nicht nur für uns als Organisatoren eine Menge Arbeit. Auch für unsere Aussteller bedeutet dies eine Menge Vorbereitung und Planung. Sie müssen sicherstellen, dass ihr gesamtes Team während der Messe verfügbar ist, sie müssen den Standbau organisieren und hoffen, dass ihr Lieferant keinen Personalmangel oder einen vollen Terminkalender hat. Sie müssen auch dafür sorgen, dass die neue Kollektion rechtzeitig fertig wird. Und all dies muss in das Marketingbudget passen, das Monate im Voraus festgelegt wurde.</w:t>
      </w:r>
    </w:p>
    <w:p w14:paraId="73C36A5B" w14:textId="26996E5B" w:rsidR="002B48C5" w:rsidRDefault="002B48C5">
      <w:pPr>
        <w:rPr>
          <w:lang w:val="de-DE"/>
        </w:rPr>
      </w:pPr>
      <w:r w:rsidRPr="002B48C5">
        <w:rPr>
          <w:lang w:val="de-DE"/>
        </w:rPr>
        <w:t>Aussteller, aber auch Einkäufer und alle anderen Interessierten sollten wissen, dass die Brüsseler Möbelmesse, wenn sie sie in ihrem Terminkalender ankreuzen, sofort in den Marmor gemeißelt wird. Unabhängig davon, ob die Auslastung 100 % oder 60 % beträgt, haben wir beschlossen, die Termine nicht zu verschieben.</w:t>
      </w:r>
    </w:p>
    <w:p w14:paraId="3348C67C" w14:textId="77777777" w:rsidR="001C14F3" w:rsidRPr="001C14F3" w:rsidRDefault="001C14F3">
      <w:pPr>
        <w:rPr>
          <w:lang w:val="de-DE"/>
        </w:rPr>
      </w:pPr>
      <w:r w:rsidRPr="001C14F3">
        <w:rPr>
          <w:lang w:val="de-DE"/>
        </w:rPr>
        <w:lastRenderedPageBreak/>
        <w:t>Und nicht zuletzt wollen wir ein unvergessliches Erlebnis schaffen. Die Menschen sollen die Messe mit einem Lächeln betreten und mit einem zufriedenen Gefühl und unvergesslichen Momenten verlassen. Vor allem in den Benelux-Ländern gilt unsere Messe als der '</w:t>
      </w:r>
      <w:proofErr w:type="spellStart"/>
      <w:r w:rsidRPr="001C14F3">
        <w:rPr>
          <w:lang w:val="de-DE"/>
        </w:rPr>
        <w:t>Partytag</w:t>
      </w:r>
      <w:proofErr w:type="spellEnd"/>
      <w:r w:rsidRPr="001C14F3">
        <w:rPr>
          <w:lang w:val="de-DE"/>
        </w:rPr>
        <w:t xml:space="preserve"> der Möbelbranche'. Deshalb wollen wir diesen Moment nutzen, um Beziehungen zu stärken und direkte Kontakte herzustellen.</w:t>
      </w:r>
    </w:p>
    <w:p w14:paraId="0B20D24B" w14:textId="03912CB3" w:rsidR="001C14F3" w:rsidRPr="001C14F3" w:rsidRDefault="001C14F3" w:rsidP="00F97BFF">
      <w:pPr>
        <w:rPr>
          <w:lang w:val="de-DE"/>
        </w:rPr>
      </w:pPr>
      <w:r w:rsidRPr="001C14F3">
        <w:rPr>
          <w:lang w:val="de-DE"/>
        </w:rPr>
        <w:t>In diesem Jahr erhielten alle unsere VIP-Besucher als Vorgeschmack eine hölzerne Möbelmesse-</w:t>
      </w:r>
      <w:r>
        <w:rPr>
          <w:lang w:val="de-DE"/>
        </w:rPr>
        <w:t>Münze</w:t>
      </w:r>
      <w:r w:rsidRPr="001C14F3">
        <w:rPr>
          <w:lang w:val="de-DE"/>
        </w:rPr>
        <w:t xml:space="preserve"> in ihrem Hotelzimmer, die auch an alle Besucher an den Eingängen verteilt wird, um die Spannung zu erhöhen. Eine solche Münze finden Sie auch in Ihrer Pressemappe. Zögern Sie nicht, es in einem unserer 'Bubble Drop'-Automaten neben dem VIP-Schalter direkt unter diesem Restaurant auszuprobieren.</w:t>
      </w:r>
    </w:p>
    <w:p w14:paraId="43AD1BCC" w14:textId="7F74A65D" w:rsidR="001C14F3" w:rsidRPr="001C14F3" w:rsidRDefault="001C14F3">
      <w:pPr>
        <w:rPr>
          <w:lang w:val="de-DE"/>
        </w:rPr>
      </w:pPr>
      <w:r w:rsidRPr="001C14F3">
        <w:rPr>
          <w:lang w:val="de-DE"/>
        </w:rPr>
        <w:t xml:space="preserve">Wir sind überzeugt, dass der Schlüssel zur Verbesserung der genannten </w:t>
      </w:r>
      <w:r>
        <w:rPr>
          <w:lang w:val="de-DE"/>
        </w:rPr>
        <w:t>Schwerpu</w:t>
      </w:r>
      <w:r w:rsidR="00D67A68">
        <w:rPr>
          <w:lang w:val="de-DE"/>
        </w:rPr>
        <w:t>n</w:t>
      </w:r>
      <w:r>
        <w:rPr>
          <w:lang w:val="de-DE"/>
        </w:rPr>
        <w:t>kt</w:t>
      </w:r>
      <w:r w:rsidR="00D67A68">
        <w:rPr>
          <w:lang w:val="de-DE"/>
        </w:rPr>
        <w:t>themen</w:t>
      </w:r>
      <w:r w:rsidRPr="001C14F3">
        <w:rPr>
          <w:lang w:val="de-DE"/>
        </w:rPr>
        <w:t xml:space="preserve"> in der Kommunikation liegt. Sowohl für Kunden, Besucher, Lieferanten als auch für die Presse. Deshalb haben wir unser Team verstärkt, indem wir Thomas als Kommunikations- und Marketingleiter und mich als Ge</w:t>
      </w:r>
      <w:r w:rsidR="00D67A68">
        <w:rPr>
          <w:lang w:val="de-DE"/>
        </w:rPr>
        <w:t>schäftsleiter</w:t>
      </w:r>
      <w:r w:rsidRPr="001C14F3">
        <w:rPr>
          <w:lang w:val="de-DE"/>
        </w:rPr>
        <w:t xml:space="preserve"> eingestellt haben, um die Beziehungen zu unseren Ausstellern und Partnern zu stärken und auszubauen. Wir glauben an den persönlichen Kontakt und den Dialog. Zögern Sie also nicht, uns zu besuchen, um uns Ihre Sichtweise und Ihre Vorstellungen von unserem Sektor mitzuteilen.</w:t>
      </w:r>
    </w:p>
    <w:p w14:paraId="642DFCBE" w14:textId="77777777" w:rsidR="00B06B90" w:rsidRPr="00B06B90" w:rsidRDefault="00B06B90" w:rsidP="00B06B90">
      <w:pPr>
        <w:rPr>
          <w:rFonts w:eastAsia="Times New Roman" w:cstheme="minorHAnsi"/>
          <w:noProof/>
          <w:lang w:val="de-DE" w:eastAsia="nl-NL"/>
        </w:rPr>
      </w:pPr>
      <w:r w:rsidRPr="00B06B90">
        <w:rPr>
          <w:rFonts w:cstheme="minorHAnsi"/>
          <w:lang w:val="de-DE"/>
        </w:rPr>
        <w:t>Abschließend möchten wir Ihnen noch einige Statistiken und zusätzliche Informationen über diese Ausgabe der Brüsseler Möbelmesse geben:</w:t>
      </w:r>
    </w:p>
    <w:p w14:paraId="0979DB96" w14:textId="47E5EA62" w:rsidR="0041467A" w:rsidRPr="00B06B90" w:rsidRDefault="00086DF5" w:rsidP="0041467A">
      <w:pPr>
        <w:pStyle w:val="ListParagraph"/>
        <w:numPr>
          <w:ilvl w:val="0"/>
          <w:numId w:val="17"/>
        </w:numPr>
        <w:rPr>
          <w:rFonts w:asciiTheme="minorHAnsi" w:hAnsiTheme="minorHAnsi" w:cstheme="minorHAnsi"/>
          <w:sz w:val="22"/>
          <w:szCs w:val="22"/>
          <w:lang w:val="de-DE"/>
        </w:rPr>
      </w:pPr>
      <w:r w:rsidRPr="00B06B90">
        <w:rPr>
          <w:rFonts w:asciiTheme="minorHAnsi" w:hAnsiTheme="minorHAnsi" w:cstheme="minorHAnsi"/>
          <w:sz w:val="22"/>
          <w:szCs w:val="22"/>
          <w:lang w:val="de-DE"/>
        </w:rPr>
        <w:t>Statisti</w:t>
      </w:r>
      <w:r w:rsidR="00B06B90">
        <w:rPr>
          <w:rFonts w:asciiTheme="minorHAnsi" w:hAnsiTheme="minorHAnsi" w:cstheme="minorHAnsi"/>
          <w:sz w:val="22"/>
          <w:szCs w:val="22"/>
          <w:lang w:val="de-DE"/>
        </w:rPr>
        <w:t>k</w:t>
      </w:r>
      <w:r w:rsidR="002834B7" w:rsidRPr="00B06B90">
        <w:rPr>
          <w:rFonts w:asciiTheme="minorHAnsi" w:hAnsiTheme="minorHAnsi" w:cstheme="minorHAnsi"/>
          <w:sz w:val="22"/>
          <w:szCs w:val="22"/>
          <w:lang w:val="de-DE"/>
        </w:rPr>
        <w:t>:</w:t>
      </w:r>
    </w:p>
    <w:p w14:paraId="2FB445E7" w14:textId="49F1F9DA" w:rsidR="00486AD0" w:rsidRPr="00486AD0" w:rsidRDefault="002834B7" w:rsidP="00486AD0">
      <w:pPr>
        <w:pStyle w:val="ListParagraph"/>
        <w:numPr>
          <w:ilvl w:val="1"/>
          <w:numId w:val="17"/>
        </w:numPr>
        <w:rPr>
          <w:rFonts w:asciiTheme="minorHAnsi" w:hAnsiTheme="minorHAnsi" w:cstheme="minorHAnsi"/>
          <w:sz w:val="22"/>
          <w:szCs w:val="22"/>
          <w:lang w:val="en-US"/>
        </w:rPr>
      </w:pPr>
      <w:r w:rsidRPr="00486AD0">
        <w:rPr>
          <w:rFonts w:asciiTheme="minorHAnsi" w:hAnsiTheme="minorHAnsi" w:cstheme="minorHAnsi"/>
          <w:sz w:val="22"/>
          <w:szCs w:val="22"/>
          <w:lang w:val="en-US"/>
        </w:rPr>
        <w:t xml:space="preserve">215 </w:t>
      </w:r>
      <w:r w:rsidR="00B06B90">
        <w:rPr>
          <w:rFonts w:asciiTheme="minorHAnsi" w:hAnsiTheme="minorHAnsi" w:cstheme="minorHAnsi"/>
          <w:sz w:val="22"/>
          <w:szCs w:val="22"/>
          <w:lang w:val="en-US"/>
        </w:rPr>
        <w:t>Aussteller insgesamt</w:t>
      </w:r>
    </w:p>
    <w:p w14:paraId="21749A6C" w14:textId="77777777" w:rsidR="00B06B90" w:rsidRPr="00B06B90" w:rsidRDefault="00B06B90" w:rsidP="00486AD0">
      <w:pPr>
        <w:pStyle w:val="ListParagraph"/>
        <w:numPr>
          <w:ilvl w:val="1"/>
          <w:numId w:val="17"/>
        </w:numPr>
        <w:rPr>
          <w:rFonts w:asciiTheme="minorHAnsi" w:hAnsiTheme="minorHAnsi" w:cstheme="minorHAnsi"/>
          <w:sz w:val="22"/>
          <w:szCs w:val="22"/>
          <w:lang w:val="de-DE"/>
        </w:rPr>
      </w:pPr>
      <w:r w:rsidRPr="00B06B90">
        <w:rPr>
          <w:rFonts w:asciiTheme="minorHAnsi" w:hAnsiTheme="minorHAnsi" w:cstheme="minorHAnsi"/>
          <w:sz w:val="22"/>
          <w:szCs w:val="22"/>
          <w:lang w:val="de-DE"/>
        </w:rPr>
        <w:t>Aussteller mehr bei Brussels By Night im Vergleich zu 2021</w:t>
      </w:r>
    </w:p>
    <w:p w14:paraId="0DD722CF" w14:textId="6711A373" w:rsidR="00E8327E" w:rsidRPr="00B06B90" w:rsidRDefault="00483CD1" w:rsidP="00486AD0">
      <w:pPr>
        <w:pStyle w:val="ListParagraph"/>
        <w:numPr>
          <w:ilvl w:val="1"/>
          <w:numId w:val="17"/>
        </w:numPr>
        <w:rPr>
          <w:rFonts w:asciiTheme="minorHAnsi" w:hAnsiTheme="minorHAnsi" w:cstheme="minorHAnsi"/>
          <w:sz w:val="22"/>
          <w:szCs w:val="22"/>
          <w:lang w:val="de-DE"/>
        </w:rPr>
      </w:pPr>
      <w:r w:rsidRPr="00B06B90">
        <w:rPr>
          <w:rFonts w:asciiTheme="minorHAnsi" w:hAnsiTheme="minorHAnsi" w:cstheme="minorHAnsi"/>
          <w:sz w:val="22"/>
          <w:szCs w:val="22"/>
          <w:lang w:val="de-DE"/>
        </w:rPr>
        <w:t>6800</w:t>
      </w:r>
      <w:r w:rsidR="00086DF5" w:rsidRPr="00B06B90">
        <w:rPr>
          <w:rFonts w:asciiTheme="minorHAnsi" w:hAnsiTheme="minorHAnsi" w:cstheme="minorHAnsi"/>
          <w:sz w:val="22"/>
          <w:szCs w:val="22"/>
          <w:lang w:val="de-DE"/>
        </w:rPr>
        <w:t xml:space="preserve"> m² </w:t>
      </w:r>
      <w:r w:rsidR="00B06B90" w:rsidRPr="00B06B90">
        <w:rPr>
          <w:rFonts w:asciiTheme="minorHAnsi" w:hAnsiTheme="minorHAnsi" w:cstheme="minorHAnsi"/>
          <w:sz w:val="22"/>
          <w:szCs w:val="22"/>
          <w:lang w:val="de-DE"/>
        </w:rPr>
        <w:t>mehr Standfläche als im Jahr 2021</w:t>
      </w:r>
    </w:p>
    <w:p w14:paraId="2D591EB1" w14:textId="0188560B" w:rsidR="0041467A" w:rsidRPr="00B06B90" w:rsidRDefault="00086DF5" w:rsidP="0041467A">
      <w:pPr>
        <w:pStyle w:val="ListParagraph"/>
        <w:numPr>
          <w:ilvl w:val="1"/>
          <w:numId w:val="17"/>
        </w:numPr>
        <w:rPr>
          <w:rFonts w:asciiTheme="minorHAnsi" w:hAnsiTheme="minorHAnsi" w:cstheme="minorHAnsi"/>
          <w:sz w:val="22"/>
          <w:szCs w:val="22"/>
          <w:lang w:val="de-DE"/>
        </w:rPr>
      </w:pPr>
      <w:r w:rsidRPr="00B06B90">
        <w:rPr>
          <w:rFonts w:asciiTheme="minorHAnsi" w:hAnsiTheme="minorHAnsi" w:cstheme="minorHAnsi"/>
          <w:sz w:val="22"/>
          <w:szCs w:val="22"/>
          <w:lang w:val="de-DE"/>
        </w:rPr>
        <w:t>N</w:t>
      </w:r>
      <w:r w:rsidR="00B06B90" w:rsidRPr="00B06B90">
        <w:rPr>
          <w:rFonts w:asciiTheme="minorHAnsi" w:hAnsiTheme="minorHAnsi" w:cstheme="minorHAnsi"/>
          <w:sz w:val="22"/>
          <w:szCs w:val="22"/>
          <w:lang w:val="de-DE"/>
        </w:rPr>
        <w:t>ationalitäten: alphabetisch und nach Anzahl</w:t>
      </w:r>
    </w:p>
    <w:p w14:paraId="70A0DB5E" w14:textId="2C4ADE78" w:rsidR="00486AD0" w:rsidRPr="00B06B90" w:rsidRDefault="00486AD0" w:rsidP="00486AD0">
      <w:pPr>
        <w:ind w:left="720"/>
        <w:rPr>
          <w:rFonts w:cstheme="minorHAnsi"/>
          <w:lang w:val="de-DE"/>
        </w:rPr>
      </w:pPr>
    </w:p>
    <w:tbl>
      <w:tblPr>
        <w:tblW w:w="8367" w:type="dxa"/>
        <w:tblCellMar>
          <w:left w:w="70" w:type="dxa"/>
          <w:right w:w="70" w:type="dxa"/>
        </w:tblCellMar>
        <w:tblLook w:val="04A0" w:firstRow="1" w:lastRow="0" w:firstColumn="1" w:lastColumn="0" w:noHBand="0" w:noVBand="1"/>
      </w:tblPr>
      <w:tblGrid>
        <w:gridCol w:w="2542"/>
        <w:gridCol w:w="898"/>
        <w:gridCol w:w="960"/>
        <w:gridCol w:w="2678"/>
        <w:gridCol w:w="1289"/>
      </w:tblGrid>
      <w:tr w:rsidR="00B63EB8" w:rsidRPr="00B63EB8" w14:paraId="66C62563" w14:textId="77777777" w:rsidTr="00FE1DD5">
        <w:trPr>
          <w:trHeight w:val="315"/>
        </w:trPr>
        <w:tc>
          <w:tcPr>
            <w:tcW w:w="2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F3D00" w14:textId="25758AA8" w:rsidR="00B63EB8" w:rsidRPr="00B63EB8" w:rsidRDefault="00884A82" w:rsidP="00B63EB8">
            <w:pPr>
              <w:spacing w:after="0" w:line="240" w:lineRule="auto"/>
              <w:rPr>
                <w:rFonts w:ascii="Calibri" w:eastAsia="Times New Roman" w:hAnsi="Calibri" w:cs="Calibri"/>
                <w:b/>
                <w:bCs/>
                <w:color w:val="000000"/>
                <w:lang w:eastAsia="fr-BE"/>
              </w:rPr>
            </w:pPr>
            <w:proofErr w:type="spellStart"/>
            <w:r w:rsidRPr="00884A82">
              <w:rPr>
                <w:rFonts w:ascii="Calibri" w:eastAsia="Times New Roman" w:hAnsi="Calibri" w:cs="Calibri"/>
                <w:b/>
                <w:bCs/>
                <w:color w:val="000000"/>
                <w:lang w:eastAsia="fr-BE"/>
              </w:rPr>
              <w:t>Herkunftsland</w:t>
            </w:r>
            <w:proofErr w:type="spellEnd"/>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14:paraId="1324192C" w14:textId="4A3CE013" w:rsidR="00B63EB8" w:rsidRPr="00B63EB8" w:rsidRDefault="00884A82" w:rsidP="00B63EB8">
            <w:pPr>
              <w:spacing w:after="0" w:line="240" w:lineRule="auto"/>
              <w:rPr>
                <w:rFonts w:ascii="Calibri" w:eastAsia="Times New Roman" w:hAnsi="Calibri" w:cs="Calibri"/>
                <w:b/>
                <w:bCs/>
                <w:color w:val="000000"/>
                <w:lang w:eastAsia="fr-BE"/>
              </w:rPr>
            </w:pPr>
            <w:r>
              <w:rPr>
                <w:rFonts w:ascii="Calibri" w:eastAsia="Times New Roman" w:hAnsi="Calibri" w:cs="Calibri"/>
                <w:b/>
                <w:bCs/>
                <w:color w:val="000000"/>
                <w:lang w:eastAsia="fr-BE"/>
              </w:rPr>
              <w:t>Menge</w:t>
            </w:r>
          </w:p>
        </w:tc>
        <w:tc>
          <w:tcPr>
            <w:tcW w:w="960" w:type="dxa"/>
            <w:tcBorders>
              <w:top w:val="nil"/>
              <w:left w:val="nil"/>
              <w:bottom w:val="nil"/>
              <w:right w:val="nil"/>
            </w:tcBorders>
            <w:shd w:val="clear" w:color="auto" w:fill="auto"/>
            <w:noWrap/>
            <w:vAlign w:val="bottom"/>
            <w:hideMark/>
          </w:tcPr>
          <w:p w14:paraId="6AE65D50" w14:textId="77777777" w:rsidR="00B63EB8" w:rsidRPr="00B63EB8" w:rsidRDefault="00B63EB8" w:rsidP="00B63EB8">
            <w:pPr>
              <w:spacing w:after="0" w:line="240" w:lineRule="auto"/>
              <w:rPr>
                <w:rFonts w:ascii="Calibri" w:eastAsia="Times New Roman" w:hAnsi="Calibri" w:cs="Calibri"/>
                <w:b/>
                <w:bCs/>
                <w:color w:val="000000"/>
                <w:lang w:eastAsia="fr-BE"/>
              </w:rPr>
            </w:pPr>
          </w:p>
        </w:tc>
        <w:tc>
          <w:tcPr>
            <w:tcW w:w="2678" w:type="dxa"/>
            <w:tcBorders>
              <w:top w:val="single" w:sz="8" w:space="0" w:color="auto"/>
              <w:left w:val="single" w:sz="8" w:space="0" w:color="auto"/>
              <w:bottom w:val="single" w:sz="8" w:space="0" w:color="auto"/>
              <w:right w:val="nil"/>
            </w:tcBorders>
            <w:shd w:val="clear" w:color="auto" w:fill="auto"/>
            <w:noWrap/>
            <w:vAlign w:val="center"/>
            <w:hideMark/>
          </w:tcPr>
          <w:p w14:paraId="2296A5F9" w14:textId="77777777" w:rsidR="00B63EB8" w:rsidRPr="00B63EB8" w:rsidRDefault="00B63EB8" w:rsidP="00B63EB8">
            <w:pPr>
              <w:spacing w:after="0" w:line="240" w:lineRule="auto"/>
              <w:rPr>
                <w:rFonts w:ascii="Calibri" w:eastAsia="Times New Roman" w:hAnsi="Calibri" w:cs="Calibri"/>
                <w:b/>
                <w:bCs/>
                <w:color w:val="000000"/>
                <w:lang w:eastAsia="fr-BE"/>
              </w:rPr>
            </w:pPr>
            <w:r w:rsidRPr="00B63EB8">
              <w:rPr>
                <w:rFonts w:ascii="Calibri" w:eastAsia="Times New Roman" w:hAnsi="Calibri" w:cs="Calibri"/>
                <w:b/>
                <w:bCs/>
                <w:color w:val="000000"/>
                <w:lang w:eastAsia="fr-BE"/>
              </w:rPr>
              <w:t xml:space="preserve">Land van </w:t>
            </w:r>
            <w:proofErr w:type="spellStart"/>
            <w:r w:rsidRPr="00B63EB8">
              <w:rPr>
                <w:rFonts w:ascii="Calibri" w:eastAsia="Times New Roman" w:hAnsi="Calibri" w:cs="Calibri"/>
                <w:b/>
                <w:bCs/>
                <w:color w:val="000000"/>
                <w:lang w:eastAsia="fr-BE"/>
              </w:rPr>
              <w:t>oorsprong</w:t>
            </w:r>
            <w:proofErr w:type="spellEnd"/>
          </w:p>
        </w:tc>
        <w:tc>
          <w:tcPr>
            <w:tcW w:w="12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6A081E" w14:textId="77777777" w:rsidR="00B63EB8" w:rsidRPr="00B63EB8" w:rsidRDefault="00B63EB8" w:rsidP="00B63EB8">
            <w:pPr>
              <w:spacing w:after="0" w:line="240" w:lineRule="auto"/>
              <w:rPr>
                <w:rFonts w:ascii="Calibri" w:eastAsia="Times New Roman" w:hAnsi="Calibri" w:cs="Calibri"/>
                <w:b/>
                <w:bCs/>
                <w:color w:val="000000"/>
                <w:lang w:eastAsia="fr-BE"/>
              </w:rPr>
            </w:pPr>
            <w:proofErr w:type="spellStart"/>
            <w:r w:rsidRPr="00B63EB8">
              <w:rPr>
                <w:rFonts w:ascii="Calibri" w:eastAsia="Times New Roman" w:hAnsi="Calibri" w:cs="Calibri"/>
                <w:b/>
                <w:bCs/>
                <w:color w:val="000000"/>
                <w:lang w:eastAsia="fr-BE"/>
              </w:rPr>
              <w:t>Hoeveelheid</w:t>
            </w:r>
            <w:proofErr w:type="spellEnd"/>
          </w:p>
        </w:tc>
      </w:tr>
      <w:tr w:rsidR="00B63EB8" w:rsidRPr="00B63EB8" w14:paraId="0B63F254"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5A953389" w14:textId="505CF51D"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Albani</w:t>
            </w:r>
            <w:r w:rsidR="00884A82">
              <w:rPr>
                <w:rFonts w:ascii="Calibri" w:eastAsia="Times New Roman" w:hAnsi="Calibri" w:cs="Calibri"/>
                <w:color w:val="000000"/>
                <w:lang w:eastAsia="fr-BE"/>
              </w:rPr>
              <w:t>en</w:t>
            </w:r>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28E6F02E"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3E98CD48"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07082252" w14:textId="36728DE3" w:rsidR="00B63EB8" w:rsidRPr="00B63EB8" w:rsidRDefault="00FE1DD5"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Belgi</w:t>
            </w:r>
            <w:r>
              <w:rPr>
                <w:rFonts w:ascii="Calibri" w:eastAsia="Times New Roman" w:hAnsi="Calibri" w:cs="Calibri"/>
                <w:color w:val="000000"/>
                <w:lang w:eastAsia="fr-BE"/>
              </w:rPr>
              <w:t>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5E194B2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69</w:t>
            </w:r>
          </w:p>
        </w:tc>
      </w:tr>
      <w:tr w:rsidR="00B63EB8" w:rsidRPr="00B63EB8" w14:paraId="584D4E55"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145442FB" w14:textId="580E8586" w:rsidR="00B63EB8" w:rsidRPr="00B63EB8" w:rsidRDefault="00B63EB8"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Belgi</w:t>
            </w:r>
            <w:r w:rsidR="00884A82">
              <w:rPr>
                <w:rFonts w:ascii="Calibri" w:eastAsia="Times New Roman" w:hAnsi="Calibri" w:cs="Calibri"/>
                <w:color w:val="000000"/>
                <w:lang w:eastAsia="fr-BE"/>
              </w:rPr>
              <w:t>en</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7F9A4F14"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69</w:t>
            </w:r>
          </w:p>
        </w:tc>
        <w:tc>
          <w:tcPr>
            <w:tcW w:w="960" w:type="dxa"/>
            <w:tcBorders>
              <w:top w:val="nil"/>
              <w:left w:val="nil"/>
              <w:bottom w:val="nil"/>
              <w:right w:val="nil"/>
            </w:tcBorders>
            <w:shd w:val="clear" w:color="auto" w:fill="auto"/>
            <w:noWrap/>
            <w:vAlign w:val="bottom"/>
            <w:hideMark/>
          </w:tcPr>
          <w:p w14:paraId="5DD89F6F"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5A695830" w14:textId="5635B540" w:rsidR="00B63EB8" w:rsidRPr="00B63EB8" w:rsidRDefault="00FE1DD5"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N</w:t>
            </w:r>
            <w:r>
              <w:rPr>
                <w:rFonts w:ascii="Calibri" w:eastAsia="Times New Roman" w:hAnsi="Calibri" w:cs="Calibri"/>
                <w:color w:val="000000"/>
                <w:lang w:eastAsia="fr-BE"/>
              </w:rPr>
              <w:t>i</w:t>
            </w:r>
            <w:r w:rsidRPr="00B63EB8">
              <w:rPr>
                <w:rFonts w:ascii="Calibri" w:eastAsia="Times New Roman" w:hAnsi="Calibri" w:cs="Calibri"/>
                <w:color w:val="000000"/>
                <w:lang w:eastAsia="fr-BE"/>
              </w:rPr>
              <w:t>ederl</w:t>
            </w:r>
            <w:r>
              <w:rPr>
                <w:rFonts w:ascii="Calibri" w:eastAsia="Times New Roman" w:hAnsi="Calibri" w:cs="Calibri"/>
                <w:color w:val="000000"/>
                <w:lang w:eastAsia="fr-BE"/>
              </w:rPr>
              <w:t>ä</w:t>
            </w:r>
            <w:r w:rsidRPr="00B63EB8">
              <w:rPr>
                <w:rFonts w:ascii="Calibri" w:eastAsia="Times New Roman" w:hAnsi="Calibri" w:cs="Calibri"/>
                <w:color w:val="000000"/>
                <w:lang w:eastAsia="fr-BE"/>
              </w:rPr>
              <w:t>nd</w:t>
            </w:r>
            <w:r>
              <w:rPr>
                <w:rFonts w:ascii="Calibri" w:eastAsia="Times New Roman" w:hAnsi="Calibri" w:cs="Calibri"/>
                <w:color w:val="000000"/>
                <w:lang w:eastAsia="fr-BE"/>
              </w:rPr>
              <w:t>e</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166914BD"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68</w:t>
            </w:r>
          </w:p>
        </w:tc>
      </w:tr>
      <w:tr w:rsidR="00B63EB8" w:rsidRPr="00B63EB8" w14:paraId="6C54BE50"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28C2EB25" w14:textId="649D47D1" w:rsidR="00B63EB8" w:rsidRPr="00B63EB8" w:rsidRDefault="00884A82" w:rsidP="00B63EB8">
            <w:pPr>
              <w:spacing w:after="0" w:line="240" w:lineRule="auto"/>
              <w:rPr>
                <w:rFonts w:ascii="Calibri" w:eastAsia="Times New Roman" w:hAnsi="Calibri" w:cs="Calibri"/>
                <w:color w:val="000000"/>
                <w:lang w:eastAsia="fr-BE"/>
              </w:rPr>
            </w:pPr>
            <w:r w:rsidRPr="00884A82">
              <w:rPr>
                <w:rFonts w:ascii="Calibri" w:eastAsia="Times New Roman" w:hAnsi="Calibri" w:cs="Calibri"/>
                <w:color w:val="000000"/>
                <w:lang w:eastAsia="fr-BE"/>
              </w:rPr>
              <w:t xml:space="preserve">Bosnien </w:t>
            </w:r>
            <w:proofErr w:type="spellStart"/>
            <w:r w:rsidRPr="00884A82">
              <w:rPr>
                <w:rFonts w:ascii="Calibri" w:eastAsia="Times New Roman" w:hAnsi="Calibri" w:cs="Calibri"/>
                <w:color w:val="000000"/>
                <w:lang w:eastAsia="fr-BE"/>
              </w:rPr>
              <w:t>und</w:t>
            </w:r>
            <w:proofErr w:type="spellEnd"/>
            <w:r w:rsidRPr="00884A82">
              <w:rPr>
                <w:rFonts w:ascii="Calibri" w:eastAsia="Times New Roman" w:hAnsi="Calibri" w:cs="Calibri"/>
                <w:color w:val="000000"/>
                <w:lang w:eastAsia="fr-BE"/>
              </w:rPr>
              <w:t xml:space="preserve"> </w:t>
            </w:r>
            <w:proofErr w:type="spellStart"/>
            <w:r w:rsidRPr="00884A82">
              <w:rPr>
                <w:rFonts w:ascii="Calibri" w:eastAsia="Times New Roman" w:hAnsi="Calibri" w:cs="Calibri"/>
                <w:color w:val="000000"/>
                <w:lang w:eastAsia="fr-BE"/>
              </w:rPr>
              <w:t>Herzegowina</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58C3C33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692591A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615106EF" w14:textId="4BB78653"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Deutschland</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7C83EE2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17</w:t>
            </w:r>
          </w:p>
        </w:tc>
      </w:tr>
      <w:tr w:rsidR="00B63EB8" w:rsidRPr="00B63EB8" w14:paraId="4537608F"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0A15E30D" w14:textId="1034080C" w:rsidR="00B63EB8" w:rsidRPr="00B63EB8" w:rsidRDefault="00B63EB8"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Bulgari</w:t>
            </w:r>
            <w:r w:rsidR="00FE1DD5">
              <w:rPr>
                <w:rFonts w:ascii="Calibri" w:eastAsia="Times New Roman" w:hAnsi="Calibri" w:cs="Calibri"/>
                <w:color w:val="000000"/>
                <w:lang w:eastAsia="fr-BE"/>
              </w:rPr>
              <w:t>en</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04B4111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0AFF5427"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004C1EA2" w14:textId="0F428A7B" w:rsidR="00B63EB8" w:rsidRPr="00B63EB8" w:rsidRDefault="00B63EB8" w:rsidP="00B63EB8">
            <w:pPr>
              <w:spacing w:after="0" w:line="240" w:lineRule="auto"/>
              <w:rPr>
                <w:rFonts w:ascii="Calibri" w:eastAsia="Times New Roman" w:hAnsi="Calibri" w:cs="Calibri"/>
                <w:color w:val="000000"/>
                <w:lang w:eastAsia="fr-BE"/>
              </w:rPr>
            </w:pPr>
            <w:proofErr w:type="spellStart"/>
            <w:r>
              <w:rPr>
                <w:rFonts w:ascii="Calibri" w:eastAsia="Times New Roman" w:hAnsi="Calibri" w:cs="Calibri"/>
                <w:color w:val="000000"/>
                <w:lang w:eastAsia="fr-BE"/>
              </w:rPr>
              <w:t>Polen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033FE4C1"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15</w:t>
            </w:r>
          </w:p>
        </w:tc>
      </w:tr>
      <w:tr w:rsidR="00B63EB8" w:rsidRPr="00B63EB8" w14:paraId="4D4B2963"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788028BF" w14:textId="2FDB315E"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Dänemark</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67A82D5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39E0F392"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05ECF704" w14:textId="74E7344F"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Ital</w:t>
            </w:r>
            <w:r>
              <w:rPr>
                <w:rFonts w:ascii="Calibri" w:eastAsia="Times New Roman" w:hAnsi="Calibri" w:cs="Calibri"/>
                <w:color w:val="000000"/>
                <w:lang w:eastAsia="fr-BE"/>
              </w:rPr>
              <w:t>i</w:t>
            </w:r>
            <w:r w:rsidR="00FE1DD5">
              <w:rPr>
                <w:rFonts w:ascii="Calibri" w:eastAsia="Times New Roman" w:hAnsi="Calibri" w:cs="Calibri"/>
                <w:color w:val="000000"/>
                <w:lang w:eastAsia="fr-BE"/>
              </w:rPr>
              <w:t>en</w:t>
            </w:r>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6ECD1929"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11</w:t>
            </w:r>
          </w:p>
        </w:tc>
      </w:tr>
      <w:tr w:rsidR="00B63EB8" w:rsidRPr="00B63EB8" w14:paraId="3B49A23E"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577F9F98" w14:textId="3CE7089C"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Deutschland</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561A61E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17</w:t>
            </w:r>
          </w:p>
        </w:tc>
        <w:tc>
          <w:tcPr>
            <w:tcW w:w="960" w:type="dxa"/>
            <w:tcBorders>
              <w:top w:val="nil"/>
              <w:left w:val="nil"/>
              <w:bottom w:val="nil"/>
              <w:right w:val="nil"/>
            </w:tcBorders>
            <w:shd w:val="clear" w:color="auto" w:fill="auto"/>
            <w:noWrap/>
            <w:vAlign w:val="bottom"/>
            <w:hideMark/>
          </w:tcPr>
          <w:p w14:paraId="4D2A08DF"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60A330D2" w14:textId="5F2196FA" w:rsidR="00B63EB8" w:rsidRPr="00B63EB8" w:rsidRDefault="00B63EB8"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Fran</w:t>
            </w:r>
            <w:r>
              <w:rPr>
                <w:rFonts w:ascii="Calibri" w:eastAsia="Times New Roman" w:hAnsi="Calibri" w:cs="Calibri"/>
                <w:color w:val="000000"/>
                <w:lang w:eastAsia="fr-BE"/>
              </w:rPr>
              <w:t>kr</w:t>
            </w:r>
            <w:r w:rsidR="00FE1DD5">
              <w:rPr>
                <w:rFonts w:ascii="Calibri" w:eastAsia="Times New Roman" w:hAnsi="Calibri" w:cs="Calibri"/>
                <w:color w:val="000000"/>
                <w:lang w:eastAsia="fr-BE"/>
              </w:rPr>
              <w:t>eich</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6F94D20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w:t>
            </w:r>
          </w:p>
        </w:tc>
      </w:tr>
      <w:tr w:rsidR="00B63EB8" w:rsidRPr="00B63EB8" w14:paraId="7C54029F"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12E206C2" w14:textId="41BD3383" w:rsidR="00B63EB8" w:rsidRPr="00B63EB8" w:rsidRDefault="00B63EB8" w:rsidP="00B63EB8">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Frankr</w:t>
            </w:r>
            <w:r w:rsidR="00FE1DD5">
              <w:rPr>
                <w:rFonts w:ascii="Calibri" w:eastAsia="Times New Roman" w:hAnsi="Calibri" w:cs="Calibri"/>
                <w:color w:val="000000"/>
                <w:lang w:eastAsia="fr-BE"/>
              </w:rPr>
              <w:t>eich</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0429F8F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w:t>
            </w:r>
          </w:p>
        </w:tc>
        <w:tc>
          <w:tcPr>
            <w:tcW w:w="960" w:type="dxa"/>
            <w:tcBorders>
              <w:top w:val="nil"/>
              <w:left w:val="nil"/>
              <w:bottom w:val="nil"/>
              <w:right w:val="nil"/>
            </w:tcBorders>
            <w:shd w:val="clear" w:color="auto" w:fill="auto"/>
            <w:noWrap/>
            <w:vAlign w:val="center"/>
            <w:hideMark/>
          </w:tcPr>
          <w:p w14:paraId="594140A5"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3759F221" w14:textId="0212143E"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Litauen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10AA9CF4"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5</w:t>
            </w:r>
          </w:p>
        </w:tc>
      </w:tr>
      <w:tr w:rsidR="00B63EB8" w:rsidRPr="00B63EB8" w14:paraId="725A18B1"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3DF580A1" w14:textId="524E414C"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Itali</w:t>
            </w:r>
            <w:r w:rsidR="00FE1DD5">
              <w:rPr>
                <w:rFonts w:ascii="Calibri" w:eastAsia="Times New Roman" w:hAnsi="Calibri" w:cs="Calibri"/>
                <w:color w:val="000000"/>
                <w:lang w:eastAsia="fr-BE"/>
              </w:rPr>
              <w:t>en</w:t>
            </w:r>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0E54658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11</w:t>
            </w:r>
          </w:p>
        </w:tc>
        <w:tc>
          <w:tcPr>
            <w:tcW w:w="960" w:type="dxa"/>
            <w:tcBorders>
              <w:top w:val="nil"/>
              <w:left w:val="nil"/>
              <w:bottom w:val="nil"/>
              <w:right w:val="nil"/>
            </w:tcBorders>
            <w:shd w:val="clear" w:color="auto" w:fill="auto"/>
            <w:noWrap/>
            <w:vAlign w:val="bottom"/>
            <w:hideMark/>
          </w:tcPr>
          <w:p w14:paraId="56C69E24"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1CAD9F3A" w14:textId="37776FAD"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Dänemark</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4BC226DF"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B63EB8" w:rsidRPr="00B63EB8" w14:paraId="09848B96"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05723CC9" w14:textId="47441B38"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Litauen</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0A928F8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5</w:t>
            </w:r>
          </w:p>
        </w:tc>
        <w:tc>
          <w:tcPr>
            <w:tcW w:w="960" w:type="dxa"/>
            <w:tcBorders>
              <w:top w:val="nil"/>
              <w:left w:val="nil"/>
              <w:bottom w:val="nil"/>
              <w:right w:val="nil"/>
            </w:tcBorders>
            <w:shd w:val="clear" w:color="auto" w:fill="auto"/>
            <w:noWrap/>
            <w:vAlign w:val="bottom"/>
            <w:hideMark/>
          </w:tcPr>
          <w:p w14:paraId="339859AD"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76B50774" w14:textId="1053868A" w:rsidR="00B63EB8" w:rsidRPr="00B63EB8" w:rsidRDefault="00FE1DD5" w:rsidP="00B63EB8">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Schweden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19EBE388"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FE1DD5" w:rsidRPr="00B63EB8" w14:paraId="238350B3"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3CEBAF4B" w14:textId="59FFF645" w:rsidR="00FE1DD5" w:rsidRPr="00B63EB8" w:rsidRDefault="00FE1DD5" w:rsidP="00FE1DD5">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N</w:t>
            </w:r>
            <w:r>
              <w:rPr>
                <w:rFonts w:ascii="Calibri" w:eastAsia="Times New Roman" w:hAnsi="Calibri" w:cs="Calibri"/>
                <w:color w:val="000000"/>
                <w:lang w:eastAsia="fr-BE"/>
              </w:rPr>
              <w:t>i</w:t>
            </w:r>
            <w:r w:rsidRPr="00B63EB8">
              <w:rPr>
                <w:rFonts w:ascii="Calibri" w:eastAsia="Times New Roman" w:hAnsi="Calibri" w:cs="Calibri"/>
                <w:color w:val="000000"/>
                <w:lang w:eastAsia="fr-BE"/>
              </w:rPr>
              <w:t>ederl</w:t>
            </w:r>
            <w:r>
              <w:rPr>
                <w:rFonts w:ascii="Calibri" w:eastAsia="Times New Roman" w:hAnsi="Calibri" w:cs="Calibri"/>
                <w:color w:val="000000"/>
                <w:lang w:eastAsia="fr-BE"/>
              </w:rPr>
              <w:t>ä</w:t>
            </w:r>
            <w:r w:rsidRPr="00B63EB8">
              <w:rPr>
                <w:rFonts w:ascii="Calibri" w:eastAsia="Times New Roman" w:hAnsi="Calibri" w:cs="Calibri"/>
                <w:color w:val="000000"/>
                <w:lang w:eastAsia="fr-BE"/>
              </w:rPr>
              <w:t>nd</w:t>
            </w:r>
            <w:r>
              <w:rPr>
                <w:rFonts w:ascii="Calibri" w:eastAsia="Times New Roman" w:hAnsi="Calibri" w:cs="Calibri"/>
                <w:color w:val="000000"/>
                <w:lang w:eastAsia="fr-BE"/>
              </w:rPr>
              <w:t>e</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38B093C2"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68</w:t>
            </w:r>
          </w:p>
        </w:tc>
        <w:tc>
          <w:tcPr>
            <w:tcW w:w="960" w:type="dxa"/>
            <w:tcBorders>
              <w:top w:val="nil"/>
              <w:left w:val="nil"/>
              <w:bottom w:val="nil"/>
              <w:right w:val="nil"/>
            </w:tcBorders>
            <w:shd w:val="clear" w:color="auto" w:fill="auto"/>
            <w:noWrap/>
            <w:vAlign w:val="bottom"/>
            <w:hideMark/>
          </w:tcPr>
          <w:p w14:paraId="69214633"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3C8F12BB" w14:textId="28BB9AF3"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Türkei</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57CE619B"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FE1DD5" w:rsidRPr="00B63EB8" w14:paraId="6722A43B"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7FBBB140" w14:textId="46F2765D"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Österreich</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5E8BD65D"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35ABA034"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142DAC62" w14:textId="77777777" w:rsidR="00FE1DD5" w:rsidRPr="00B63EB8" w:rsidRDefault="00FE1DD5" w:rsidP="00FE1DD5">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Portugal</w:t>
            </w:r>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373AD5A3"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3</w:t>
            </w:r>
          </w:p>
        </w:tc>
      </w:tr>
      <w:tr w:rsidR="00FE1DD5" w:rsidRPr="00B63EB8" w14:paraId="58E489BC"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3703595B" w14:textId="77777777" w:rsidR="00FE1DD5" w:rsidRPr="00B63EB8" w:rsidRDefault="00FE1DD5" w:rsidP="00FE1DD5">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Polen</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1687BD72"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15</w:t>
            </w:r>
          </w:p>
        </w:tc>
        <w:tc>
          <w:tcPr>
            <w:tcW w:w="960" w:type="dxa"/>
            <w:tcBorders>
              <w:top w:val="nil"/>
              <w:left w:val="nil"/>
              <w:bottom w:val="nil"/>
              <w:right w:val="nil"/>
            </w:tcBorders>
            <w:shd w:val="clear" w:color="auto" w:fill="auto"/>
            <w:noWrap/>
            <w:vAlign w:val="bottom"/>
            <w:hideMark/>
          </w:tcPr>
          <w:p w14:paraId="707B7988"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4BF23C4F" w14:textId="528DDF61"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Österreich</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27007DBD"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r>
      <w:tr w:rsidR="00FE1DD5" w:rsidRPr="00B63EB8" w14:paraId="4363C97F"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5284D57A" w14:textId="77777777" w:rsidR="00FE1DD5" w:rsidRPr="00B63EB8" w:rsidRDefault="00FE1DD5" w:rsidP="00FE1DD5">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Portugal</w:t>
            </w:r>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4CFE7D8A"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3</w:t>
            </w:r>
          </w:p>
        </w:tc>
        <w:tc>
          <w:tcPr>
            <w:tcW w:w="960" w:type="dxa"/>
            <w:tcBorders>
              <w:top w:val="nil"/>
              <w:left w:val="nil"/>
              <w:bottom w:val="nil"/>
              <w:right w:val="nil"/>
            </w:tcBorders>
            <w:shd w:val="clear" w:color="auto" w:fill="auto"/>
            <w:noWrap/>
            <w:vAlign w:val="center"/>
            <w:hideMark/>
          </w:tcPr>
          <w:p w14:paraId="5A22F744"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0A74C745" w14:textId="40249842" w:rsidR="00FE1DD5" w:rsidRPr="00B63EB8" w:rsidRDefault="00FE1DD5" w:rsidP="00FE1DD5">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Singap</w:t>
            </w:r>
            <w:r>
              <w:rPr>
                <w:rFonts w:ascii="Calibri" w:eastAsia="Times New Roman" w:hAnsi="Calibri" w:cs="Calibri"/>
                <w:color w:val="000000"/>
                <w:lang w:eastAsia="fr-BE"/>
              </w:rPr>
              <w:t>ur</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3D0D5432"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r>
      <w:tr w:rsidR="00FE1DD5" w:rsidRPr="00B63EB8" w14:paraId="3AD3EE31"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6635E3FA" w14:textId="5B8B3665"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Rumänien</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3C77DBAA"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5D32ED89"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05CF8660" w14:textId="54E91AB2" w:rsidR="00FE1DD5" w:rsidRPr="00B63EB8" w:rsidRDefault="00FE1DD5" w:rsidP="00FE1DD5">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Albani</w:t>
            </w:r>
            <w:r>
              <w:rPr>
                <w:rFonts w:ascii="Calibri" w:eastAsia="Times New Roman" w:hAnsi="Calibri" w:cs="Calibri"/>
                <w:color w:val="000000"/>
                <w:lang w:eastAsia="fr-BE"/>
              </w:rPr>
              <w:t>en</w:t>
            </w:r>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0562D00B"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FE1DD5" w:rsidRPr="00B63EB8" w14:paraId="1A352E89"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6F65B07B" w14:textId="2B1E95AE" w:rsidR="00FE1DD5" w:rsidRPr="00B63EB8" w:rsidRDefault="00FE1DD5" w:rsidP="00FE1DD5">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Singap</w:t>
            </w:r>
            <w:r>
              <w:rPr>
                <w:rFonts w:ascii="Calibri" w:eastAsia="Times New Roman" w:hAnsi="Calibri" w:cs="Calibri"/>
                <w:color w:val="000000"/>
                <w:lang w:eastAsia="fr-BE"/>
              </w:rPr>
              <w:t>u</w:t>
            </w:r>
            <w:r w:rsidRPr="00B63EB8">
              <w:rPr>
                <w:rFonts w:ascii="Calibri" w:eastAsia="Times New Roman" w:hAnsi="Calibri" w:cs="Calibri"/>
                <w:color w:val="000000"/>
                <w:lang w:eastAsia="fr-BE"/>
              </w:rPr>
              <w:t>r</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2B3040FE"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753A0FBC"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4F7A99BB" w14:textId="4032018C" w:rsidR="00FE1DD5" w:rsidRPr="00B63EB8" w:rsidRDefault="00FE1DD5" w:rsidP="00FE1DD5">
            <w:pPr>
              <w:spacing w:after="0" w:line="240" w:lineRule="auto"/>
              <w:rPr>
                <w:rFonts w:ascii="Calibri" w:eastAsia="Times New Roman" w:hAnsi="Calibri" w:cs="Calibri"/>
                <w:color w:val="000000"/>
                <w:lang w:eastAsia="fr-BE"/>
              </w:rPr>
            </w:pPr>
            <w:r w:rsidRPr="00884A82">
              <w:rPr>
                <w:rFonts w:ascii="Calibri" w:eastAsia="Times New Roman" w:hAnsi="Calibri" w:cs="Calibri"/>
                <w:color w:val="000000"/>
                <w:lang w:eastAsia="fr-BE"/>
              </w:rPr>
              <w:t xml:space="preserve">Bosnien </w:t>
            </w:r>
            <w:proofErr w:type="spellStart"/>
            <w:r w:rsidRPr="00884A82">
              <w:rPr>
                <w:rFonts w:ascii="Calibri" w:eastAsia="Times New Roman" w:hAnsi="Calibri" w:cs="Calibri"/>
                <w:color w:val="000000"/>
                <w:lang w:eastAsia="fr-BE"/>
              </w:rPr>
              <w:t>und</w:t>
            </w:r>
            <w:proofErr w:type="spellEnd"/>
            <w:r w:rsidRPr="00884A82">
              <w:rPr>
                <w:rFonts w:ascii="Calibri" w:eastAsia="Times New Roman" w:hAnsi="Calibri" w:cs="Calibri"/>
                <w:color w:val="000000"/>
                <w:lang w:eastAsia="fr-BE"/>
              </w:rPr>
              <w:t xml:space="preserve"> </w:t>
            </w:r>
            <w:proofErr w:type="spellStart"/>
            <w:r w:rsidRPr="00884A82">
              <w:rPr>
                <w:rFonts w:ascii="Calibri" w:eastAsia="Times New Roman" w:hAnsi="Calibri" w:cs="Calibri"/>
                <w:color w:val="000000"/>
                <w:lang w:eastAsia="fr-BE"/>
              </w:rPr>
              <w:t>Herzegowina</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2D686D48"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FE1DD5" w:rsidRPr="00B63EB8" w14:paraId="166B4F6A"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05470D46" w14:textId="7C2E0416"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Türkei</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11D4DF32"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2E832D73"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797355A9" w14:textId="0D2F8233" w:rsidR="00FE1DD5" w:rsidRPr="00B63EB8" w:rsidRDefault="00FE1DD5" w:rsidP="00FE1DD5">
            <w:pPr>
              <w:spacing w:after="0" w:line="240" w:lineRule="auto"/>
              <w:rPr>
                <w:rFonts w:ascii="Calibri" w:eastAsia="Times New Roman" w:hAnsi="Calibri" w:cs="Calibri"/>
                <w:color w:val="000000"/>
                <w:lang w:eastAsia="fr-BE"/>
              </w:rPr>
            </w:pPr>
            <w:proofErr w:type="spellStart"/>
            <w:r w:rsidRPr="00B63EB8">
              <w:rPr>
                <w:rFonts w:ascii="Calibri" w:eastAsia="Times New Roman" w:hAnsi="Calibri" w:cs="Calibri"/>
                <w:color w:val="000000"/>
                <w:lang w:eastAsia="fr-BE"/>
              </w:rPr>
              <w:t>Bulgari</w:t>
            </w:r>
            <w:r>
              <w:rPr>
                <w:rFonts w:ascii="Calibri" w:eastAsia="Times New Roman" w:hAnsi="Calibri" w:cs="Calibri"/>
                <w:color w:val="000000"/>
                <w:lang w:eastAsia="fr-BE"/>
              </w:rPr>
              <w:t>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58AA4022"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FE1DD5" w:rsidRPr="00B63EB8" w14:paraId="72B14F0C" w14:textId="77777777" w:rsidTr="00FE1DD5">
        <w:trPr>
          <w:trHeight w:val="300"/>
        </w:trPr>
        <w:tc>
          <w:tcPr>
            <w:tcW w:w="2542" w:type="dxa"/>
            <w:tcBorders>
              <w:top w:val="nil"/>
              <w:left w:val="single" w:sz="8" w:space="0" w:color="auto"/>
              <w:bottom w:val="single" w:sz="4" w:space="0" w:color="auto"/>
              <w:right w:val="nil"/>
            </w:tcBorders>
            <w:shd w:val="clear" w:color="auto" w:fill="auto"/>
            <w:noWrap/>
            <w:vAlign w:val="center"/>
            <w:hideMark/>
          </w:tcPr>
          <w:p w14:paraId="2DD26109" w14:textId="276323FD"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Vereinigtes</w:t>
            </w:r>
            <w:proofErr w:type="spellEnd"/>
            <w:r w:rsidRPr="00FE1DD5">
              <w:rPr>
                <w:rFonts w:ascii="Calibri" w:eastAsia="Times New Roman" w:hAnsi="Calibri" w:cs="Calibri"/>
                <w:color w:val="000000"/>
                <w:lang w:eastAsia="fr-BE"/>
              </w:rPr>
              <w:t xml:space="preserve"> </w:t>
            </w:r>
            <w:proofErr w:type="spellStart"/>
            <w:r w:rsidRPr="00FE1DD5">
              <w:rPr>
                <w:rFonts w:ascii="Calibri" w:eastAsia="Times New Roman" w:hAnsi="Calibri" w:cs="Calibri"/>
                <w:color w:val="000000"/>
                <w:lang w:eastAsia="fr-BE"/>
              </w:rPr>
              <w:t>Königreich</w:t>
            </w:r>
            <w:proofErr w:type="spellEnd"/>
          </w:p>
        </w:tc>
        <w:tc>
          <w:tcPr>
            <w:tcW w:w="898" w:type="dxa"/>
            <w:tcBorders>
              <w:top w:val="nil"/>
              <w:left w:val="single" w:sz="8" w:space="0" w:color="auto"/>
              <w:bottom w:val="single" w:sz="4" w:space="0" w:color="auto"/>
              <w:right w:val="single" w:sz="8" w:space="0" w:color="auto"/>
            </w:tcBorders>
            <w:shd w:val="clear" w:color="auto" w:fill="auto"/>
            <w:noWrap/>
            <w:vAlign w:val="center"/>
            <w:hideMark/>
          </w:tcPr>
          <w:p w14:paraId="7AE173B4"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3620ADA3"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4" w:space="0" w:color="auto"/>
              <w:right w:val="nil"/>
            </w:tcBorders>
            <w:shd w:val="clear" w:color="auto" w:fill="auto"/>
            <w:noWrap/>
            <w:vAlign w:val="center"/>
            <w:hideMark/>
          </w:tcPr>
          <w:p w14:paraId="1EB219C3" w14:textId="6521D56C"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Rumänien</w:t>
            </w:r>
            <w:proofErr w:type="spellEnd"/>
          </w:p>
        </w:tc>
        <w:tc>
          <w:tcPr>
            <w:tcW w:w="1289" w:type="dxa"/>
            <w:tcBorders>
              <w:top w:val="nil"/>
              <w:left w:val="single" w:sz="8" w:space="0" w:color="auto"/>
              <w:bottom w:val="single" w:sz="4" w:space="0" w:color="auto"/>
              <w:right w:val="single" w:sz="8" w:space="0" w:color="auto"/>
            </w:tcBorders>
            <w:shd w:val="clear" w:color="auto" w:fill="auto"/>
            <w:noWrap/>
            <w:vAlign w:val="center"/>
            <w:hideMark/>
          </w:tcPr>
          <w:p w14:paraId="3193159F"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FE1DD5" w:rsidRPr="00B63EB8" w14:paraId="5F7F5636" w14:textId="77777777" w:rsidTr="00FE1DD5">
        <w:trPr>
          <w:trHeight w:val="315"/>
        </w:trPr>
        <w:tc>
          <w:tcPr>
            <w:tcW w:w="2542" w:type="dxa"/>
            <w:tcBorders>
              <w:top w:val="nil"/>
              <w:left w:val="single" w:sz="8" w:space="0" w:color="auto"/>
              <w:bottom w:val="single" w:sz="8" w:space="0" w:color="auto"/>
              <w:right w:val="nil"/>
            </w:tcBorders>
            <w:shd w:val="clear" w:color="auto" w:fill="auto"/>
            <w:noWrap/>
            <w:vAlign w:val="center"/>
            <w:hideMark/>
          </w:tcPr>
          <w:p w14:paraId="17327AD8" w14:textId="613F4357"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Schweden</w:t>
            </w:r>
            <w:proofErr w:type="spellEnd"/>
          </w:p>
        </w:tc>
        <w:tc>
          <w:tcPr>
            <w:tcW w:w="898" w:type="dxa"/>
            <w:tcBorders>
              <w:top w:val="nil"/>
              <w:left w:val="single" w:sz="8" w:space="0" w:color="auto"/>
              <w:bottom w:val="single" w:sz="8" w:space="0" w:color="auto"/>
              <w:right w:val="single" w:sz="8" w:space="0" w:color="auto"/>
            </w:tcBorders>
            <w:shd w:val="clear" w:color="auto" w:fill="auto"/>
            <w:noWrap/>
            <w:vAlign w:val="center"/>
            <w:hideMark/>
          </w:tcPr>
          <w:p w14:paraId="069F7123"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2DC3F5D3" w14:textId="77777777" w:rsidR="00FE1DD5" w:rsidRPr="00B63EB8" w:rsidRDefault="00FE1DD5" w:rsidP="00FE1DD5">
            <w:pPr>
              <w:spacing w:after="0" w:line="240" w:lineRule="auto"/>
              <w:jc w:val="center"/>
              <w:rPr>
                <w:rFonts w:ascii="Calibri" w:eastAsia="Times New Roman" w:hAnsi="Calibri" w:cs="Calibri"/>
                <w:color w:val="000000"/>
                <w:lang w:eastAsia="fr-BE"/>
              </w:rPr>
            </w:pPr>
          </w:p>
        </w:tc>
        <w:tc>
          <w:tcPr>
            <w:tcW w:w="2678" w:type="dxa"/>
            <w:tcBorders>
              <w:top w:val="nil"/>
              <w:left w:val="single" w:sz="8" w:space="0" w:color="auto"/>
              <w:bottom w:val="single" w:sz="8" w:space="0" w:color="auto"/>
              <w:right w:val="nil"/>
            </w:tcBorders>
            <w:shd w:val="clear" w:color="auto" w:fill="auto"/>
            <w:noWrap/>
            <w:vAlign w:val="center"/>
            <w:hideMark/>
          </w:tcPr>
          <w:p w14:paraId="51BA7CA3" w14:textId="3B426C97" w:rsidR="00FE1DD5" w:rsidRPr="00B63EB8" w:rsidRDefault="00FE1DD5" w:rsidP="00FE1DD5">
            <w:pPr>
              <w:spacing w:after="0" w:line="240" w:lineRule="auto"/>
              <w:rPr>
                <w:rFonts w:ascii="Calibri" w:eastAsia="Times New Roman" w:hAnsi="Calibri" w:cs="Calibri"/>
                <w:color w:val="000000"/>
                <w:lang w:eastAsia="fr-BE"/>
              </w:rPr>
            </w:pPr>
            <w:proofErr w:type="spellStart"/>
            <w:r w:rsidRPr="00FE1DD5">
              <w:rPr>
                <w:rFonts w:ascii="Calibri" w:eastAsia="Times New Roman" w:hAnsi="Calibri" w:cs="Calibri"/>
                <w:color w:val="000000"/>
                <w:lang w:eastAsia="fr-BE"/>
              </w:rPr>
              <w:t>Vereinigtes</w:t>
            </w:r>
            <w:proofErr w:type="spellEnd"/>
            <w:r w:rsidRPr="00FE1DD5">
              <w:rPr>
                <w:rFonts w:ascii="Calibri" w:eastAsia="Times New Roman" w:hAnsi="Calibri" w:cs="Calibri"/>
                <w:color w:val="000000"/>
                <w:lang w:eastAsia="fr-BE"/>
              </w:rPr>
              <w:t xml:space="preserve"> </w:t>
            </w:r>
            <w:proofErr w:type="spellStart"/>
            <w:r w:rsidRPr="00FE1DD5">
              <w:rPr>
                <w:rFonts w:ascii="Calibri" w:eastAsia="Times New Roman" w:hAnsi="Calibri" w:cs="Calibri"/>
                <w:color w:val="000000"/>
                <w:lang w:eastAsia="fr-BE"/>
              </w:rPr>
              <w:t>Königreich</w:t>
            </w:r>
            <w:proofErr w:type="spellEnd"/>
          </w:p>
        </w:tc>
        <w:tc>
          <w:tcPr>
            <w:tcW w:w="1289" w:type="dxa"/>
            <w:tcBorders>
              <w:top w:val="nil"/>
              <w:left w:val="single" w:sz="8" w:space="0" w:color="auto"/>
              <w:bottom w:val="single" w:sz="8" w:space="0" w:color="auto"/>
              <w:right w:val="single" w:sz="8" w:space="0" w:color="auto"/>
            </w:tcBorders>
            <w:shd w:val="clear" w:color="auto" w:fill="auto"/>
            <w:noWrap/>
            <w:vAlign w:val="center"/>
            <w:hideMark/>
          </w:tcPr>
          <w:p w14:paraId="7A4C6303" w14:textId="77777777" w:rsidR="00FE1DD5" w:rsidRPr="00B63EB8" w:rsidRDefault="00FE1DD5" w:rsidP="00FE1DD5">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bl>
    <w:p w14:paraId="4F455F7C" w14:textId="336CF33C" w:rsidR="00486AD0" w:rsidRDefault="00486AD0" w:rsidP="00486AD0">
      <w:pPr>
        <w:ind w:left="720"/>
        <w:rPr>
          <w:rFonts w:cstheme="minorHAnsi"/>
        </w:rPr>
      </w:pPr>
    </w:p>
    <w:p w14:paraId="75BC20CE" w14:textId="713C9AFB" w:rsidR="00486AD0" w:rsidRDefault="00486AD0" w:rsidP="00486AD0">
      <w:pPr>
        <w:ind w:left="720"/>
        <w:rPr>
          <w:rFonts w:cstheme="minorHAnsi"/>
        </w:rPr>
      </w:pPr>
    </w:p>
    <w:p w14:paraId="741A207F" w14:textId="12712CC5" w:rsidR="00483CD1" w:rsidRDefault="00483CD1" w:rsidP="00483CD1">
      <w:pPr>
        <w:pStyle w:val="ListParagraph"/>
        <w:numPr>
          <w:ilvl w:val="1"/>
          <w:numId w:val="17"/>
        </w:numPr>
        <w:rPr>
          <w:rFonts w:asciiTheme="minorHAnsi" w:hAnsiTheme="minorHAnsi" w:cstheme="minorHAnsi"/>
          <w:sz w:val="22"/>
          <w:szCs w:val="22"/>
        </w:rPr>
      </w:pPr>
      <w:r>
        <w:rPr>
          <w:rFonts w:asciiTheme="minorHAnsi" w:hAnsiTheme="minorHAnsi" w:cstheme="minorHAnsi"/>
          <w:sz w:val="22"/>
          <w:szCs w:val="22"/>
        </w:rPr>
        <w:t xml:space="preserve">TOP 3: </w:t>
      </w:r>
      <w:r w:rsidR="005C3D87" w:rsidRPr="005C3D87">
        <w:rPr>
          <w:rFonts w:asciiTheme="minorHAnsi" w:hAnsiTheme="minorHAnsi" w:cstheme="minorHAnsi"/>
          <w:sz w:val="22"/>
          <w:szCs w:val="22"/>
        </w:rPr>
        <w:t>Größte Oberfläche</w:t>
      </w:r>
    </w:p>
    <w:p w14:paraId="2603C0FA" w14:textId="2B010DB3" w:rsid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MECAM – 1347 </w:t>
      </w:r>
      <w:r w:rsidR="00B63EB8">
        <w:rPr>
          <w:rFonts w:asciiTheme="minorHAnsi" w:hAnsiTheme="minorHAnsi" w:cstheme="minorHAnsi"/>
          <w:sz w:val="22"/>
          <w:szCs w:val="22"/>
        </w:rPr>
        <w:t>m²</w:t>
      </w:r>
    </w:p>
    <w:p w14:paraId="28141EE9" w14:textId="5C1FA746" w:rsid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HTL – 786 </w:t>
      </w:r>
      <w:r w:rsidR="00B63EB8">
        <w:rPr>
          <w:rFonts w:asciiTheme="minorHAnsi" w:hAnsiTheme="minorHAnsi" w:cstheme="minorHAnsi"/>
          <w:sz w:val="22"/>
          <w:szCs w:val="22"/>
        </w:rPr>
        <w:t>m²</w:t>
      </w:r>
    </w:p>
    <w:p w14:paraId="6859D0D8" w14:textId="075E6690" w:rsidR="00483CD1" w:rsidRP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HIMA, ROM &amp; DE EIKEN ZETEL </w:t>
      </w:r>
      <w:r w:rsidR="00D271BD">
        <w:rPr>
          <w:rFonts w:asciiTheme="minorHAnsi" w:hAnsiTheme="minorHAnsi" w:cstheme="minorHAnsi"/>
          <w:sz w:val="22"/>
          <w:szCs w:val="22"/>
        </w:rPr>
        <w:t xml:space="preserve">– 725 </w:t>
      </w:r>
      <w:r w:rsidR="00B63EB8">
        <w:rPr>
          <w:rFonts w:asciiTheme="minorHAnsi" w:hAnsiTheme="minorHAnsi" w:cstheme="minorHAnsi"/>
          <w:sz w:val="22"/>
          <w:szCs w:val="22"/>
        </w:rPr>
        <w:t>m²</w:t>
      </w:r>
    </w:p>
    <w:p w14:paraId="582A322D" w14:textId="77777777" w:rsidR="00737F70" w:rsidRPr="00122FDD" w:rsidRDefault="00737F70" w:rsidP="00737F70">
      <w:pPr>
        <w:pStyle w:val="ListParagraph"/>
        <w:ind w:left="1440"/>
        <w:rPr>
          <w:rFonts w:asciiTheme="minorHAnsi" w:hAnsiTheme="minorHAnsi" w:cstheme="minorHAnsi"/>
          <w:sz w:val="22"/>
          <w:szCs w:val="22"/>
        </w:rPr>
      </w:pPr>
    </w:p>
    <w:p w14:paraId="6620FC58" w14:textId="6BC0377D" w:rsidR="00D271BD" w:rsidRPr="00924D2F" w:rsidRDefault="00D271BD" w:rsidP="0041467A">
      <w:pPr>
        <w:pStyle w:val="ListParagraph"/>
        <w:numPr>
          <w:ilvl w:val="1"/>
          <w:numId w:val="17"/>
        </w:numPr>
        <w:rPr>
          <w:rFonts w:asciiTheme="minorHAnsi" w:hAnsiTheme="minorHAnsi" w:cstheme="minorHAnsi"/>
          <w:sz w:val="22"/>
          <w:szCs w:val="22"/>
          <w:lang w:val="de-DE"/>
        </w:rPr>
      </w:pPr>
      <w:r w:rsidRPr="00924D2F">
        <w:rPr>
          <w:rFonts w:asciiTheme="minorHAnsi" w:hAnsiTheme="minorHAnsi" w:cstheme="minorHAnsi"/>
          <w:sz w:val="22"/>
          <w:szCs w:val="22"/>
          <w:lang w:val="de-DE"/>
        </w:rPr>
        <w:t xml:space="preserve">TOP 3: </w:t>
      </w:r>
      <w:r w:rsidR="00924D2F" w:rsidRPr="00924D2F">
        <w:rPr>
          <w:rFonts w:asciiTheme="minorHAnsi" w:hAnsiTheme="minorHAnsi" w:cstheme="minorHAnsi"/>
          <w:sz w:val="22"/>
          <w:szCs w:val="22"/>
          <w:lang w:val="de-DE"/>
        </w:rPr>
        <w:t>Bester Standbau (Verliehen durch den offiziellen Standbauer der Möbelmesse - sehr subjektiv)</w:t>
      </w:r>
    </w:p>
    <w:p w14:paraId="1C627557" w14:textId="0FCBA948" w:rsidR="00D271BD" w:rsidRDefault="00D271BD" w:rsidP="00D271BD">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MOBITEC (</w:t>
      </w:r>
      <w:r w:rsidR="00924D2F">
        <w:rPr>
          <w:rFonts w:asciiTheme="minorHAnsi" w:hAnsiTheme="minorHAnsi" w:cstheme="minorHAnsi"/>
          <w:sz w:val="22"/>
          <w:szCs w:val="22"/>
        </w:rPr>
        <w:t>Schönste</w:t>
      </w:r>
      <w:r>
        <w:rPr>
          <w:rFonts w:asciiTheme="minorHAnsi" w:hAnsiTheme="minorHAnsi" w:cstheme="minorHAnsi"/>
          <w:sz w:val="22"/>
          <w:szCs w:val="22"/>
        </w:rPr>
        <w:t>)</w:t>
      </w:r>
    </w:p>
    <w:p w14:paraId="0BB04B96" w14:textId="02198BA2" w:rsidR="00D271BD" w:rsidRPr="00924D2F" w:rsidRDefault="002911CB" w:rsidP="00D271BD">
      <w:pPr>
        <w:pStyle w:val="ListParagraph"/>
        <w:numPr>
          <w:ilvl w:val="0"/>
          <w:numId w:val="19"/>
        </w:numPr>
        <w:rPr>
          <w:rFonts w:asciiTheme="minorHAnsi" w:hAnsiTheme="minorHAnsi" w:cstheme="minorHAnsi"/>
          <w:sz w:val="22"/>
          <w:szCs w:val="22"/>
          <w:lang w:val="de-DE"/>
        </w:rPr>
      </w:pPr>
      <w:r w:rsidRPr="00924D2F">
        <w:rPr>
          <w:rFonts w:asciiTheme="minorHAnsi" w:hAnsiTheme="minorHAnsi" w:cstheme="minorHAnsi"/>
          <w:sz w:val="22"/>
          <w:szCs w:val="22"/>
          <w:lang w:val="de-DE"/>
        </w:rPr>
        <w:t>MAX DIVANI</w:t>
      </w:r>
      <w:r w:rsidR="00B84E76" w:rsidRPr="00924D2F">
        <w:rPr>
          <w:rFonts w:asciiTheme="minorHAnsi" w:hAnsiTheme="minorHAnsi" w:cstheme="minorHAnsi"/>
          <w:sz w:val="22"/>
          <w:szCs w:val="22"/>
          <w:lang w:val="de-DE"/>
        </w:rPr>
        <w:t>, PASSE PARTOUT EN ROM</w:t>
      </w:r>
      <w:r w:rsidR="00C94BD6" w:rsidRPr="00924D2F">
        <w:rPr>
          <w:rFonts w:asciiTheme="minorHAnsi" w:hAnsiTheme="minorHAnsi" w:cstheme="minorHAnsi"/>
          <w:sz w:val="22"/>
          <w:szCs w:val="22"/>
          <w:lang w:val="de-DE"/>
        </w:rPr>
        <w:t xml:space="preserve"> (</w:t>
      </w:r>
      <w:r w:rsidR="00924D2F" w:rsidRPr="00924D2F">
        <w:rPr>
          <w:rFonts w:asciiTheme="minorHAnsi" w:hAnsiTheme="minorHAnsi" w:cstheme="minorHAnsi"/>
          <w:sz w:val="22"/>
          <w:szCs w:val="22"/>
          <w:lang w:val="de-DE"/>
        </w:rPr>
        <w:t>Immer schön und gemütlich</w:t>
      </w:r>
      <w:r w:rsidR="00C94BD6" w:rsidRPr="00924D2F">
        <w:rPr>
          <w:rFonts w:asciiTheme="minorHAnsi" w:hAnsiTheme="minorHAnsi" w:cstheme="minorHAnsi"/>
          <w:sz w:val="22"/>
          <w:szCs w:val="22"/>
          <w:lang w:val="de-DE"/>
        </w:rPr>
        <w:t>)</w:t>
      </w:r>
    </w:p>
    <w:p w14:paraId="16E6D4D5" w14:textId="381552DD" w:rsidR="00737F70" w:rsidRPr="00924D2F" w:rsidRDefault="00D271BD" w:rsidP="00737F70">
      <w:pPr>
        <w:pStyle w:val="ListParagraph"/>
        <w:numPr>
          <w:ilvl w:val="0"/>
          <w:numId w:val="19"/>
        </w:numPr>
        <w:rPr>
          <w:rFonts w:asciiTheme="minorHAnsi" w:hAnsiTheme="minorHAnsi" w:cstheme="minorHAnsi"/>
          <w:sz w:val="22"/>
          <w:szCs w:val="22"/>
          <w:lang w:val="de-DE"/>
        </w:rPr>
      </w:pPr>
      <w:r w:rsidRPr="00924D2F">
        <w:rPr>
          <w:rFonts w:asciiTheme="minorHAnsi" w:hAnsiTheme="minorHAnsi" w:cstheme="minorHAnsi"/>
          <w:sz w:val="22"/>
          <w:szCs w:val="22"/>
          <w:lang w:val="de-DE"/>
        </w:rPr>
        <w:t>WIEMANN, WIMEX, LODDENKEMPER, FEMIRA (</w:t>
      </w:r>
      <w:r w:rsidR="00924D2F" w:rsidRPr="00924D2F">
        <w:rPr>
          <w:rFonts w:asciiTheme="minorHAnsi" w:hAnsiTheme="minorHAnsi" w:cstheme="minorHAnsi"/>
          <w:sz w:val="22"/>
          <w:szCs w:val="22"/>
          <w:lang w:val="de-DE"/>
        </w:rPr>
        <w:t>Meist beeindruckend</w:t>
      </w:r>
      <w:r w:rsidRPr="00924D2F">
        <w:rPr>
          <w:rFonts w:asciiTheme="minorHAnsi" w:hAnsiTheme="minorHAnsi" w:cstheme="minorHAnsi"/>
          <w:sz w:val="22"/>
          <w:szCs w:val="22"/>
          <w:lang w:val="de-DE"/>
        </w:rPr>
        <w:t>)</w:t>
      </w:r>
      <w:r w:rsidR="00CE2796" w:rsidRPr="00924D2F">
        <w:rPr>
          <w:rFonts w:asciiTheme="minorHAnsi" w:hAnsiTheme="minorHAnsi" w:cstheme="minorHAnsi"/>
          <w:sz w:val="22"/>
          <w:szCs w:val="22"/>
          <w:lang w:val="de-DE"/>
        </w:rPr>
        <w:t xml:space="preserve"> </w:t>
      </w:r>
    </w:p>
    <w:p w14:paraId="2E0ED07C" w14:textId="77777777" w:rsidR="00737F70" w:rsidRPr="00924D2F" w:rsidRDefault="00737F70" w:rsidP="00737F70">
      <w:pPr>
        <w:pStyle w:val="ListParagraph"/>
        <w:ind w:left="1800"/>
        <w:rPr>
          <w:rFonts w:asciiTheme="minorHAnsi" w:hAnsiTheme="minorHAnsi" w:cstheme="minorHAnsi"/>
          <w:sz w:val="22"/>
          <w:szCs w:val="22"/>
          <w:lang w:val="de-DE"/>
        </w:rPr>
      </w:pPr>
    </w:p>
    <w:p w14:paraId="62838C55" w14:textId="19BEFB8C" w:rsidR="0041467A" w:rsidRPr="00486AD0" w:rsidRDefault="00C94BD6" w:rsidP="0041467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Namen</w:t>
      </w:r>
      <w:r w:rsidR="0041467A" w:rsidRPr="00486AD0">
        <w:rPr>
          <w:rFonts w:asciiTheme="minorHAnsi" w:hAnsiTheme="minorHAnsi" w:cstheme="minorHAnsi"/>
          <w:sz w:val="22"/>
          <w:szCs w:val="22"/>
        </w:rPr>
        <w:t>:</w:t>
      </w:r>
    </w:p>
    <w:p w14:paraId="02BA193E" w14:textId="11A9C4F8" w:rsidR="00D271BD" w:rsidRPr="00033A41" w:rsidRDefault="00924D2F" w:rsidP="003A3362">
      <w:pPr>
        <w:pStyle w:val="ListParagraph"/>
        <w:numPr>
          <w:ilvl w:val="1"/>
          <w:numId w:val="17"/>
        </w:numPr>
        <w:rPr>
          <w:rFonts w:asciiTheme="minorHAnsi" w:hAnsiTheme="minorHAnsi" w:cstheme="minorHAnsi"/>
          <w:sz w:val="22"/>
          <w:szCs w:val="22"/>
        </w:rPr>
      </w:pPr>
      <w:r w:rsidRPr="00924D2F">
        <w:rPr>
          <w:rFonts w:asciiTheme="minorHAnsi" w:hAnsiTheme="minorHAnsi" w:cstheme="minorHAnsi"/>
          <w:sz w:val="22"/>
          <w:szCs w:val="22"/>
        </w:rPr>
        <w:t>Bemerkenswerte Neu</w:t>
      </w:r>
      <w:r>
        <w:rPr>
          <w:rFonts w:asciiTheme="minorHAnsi" w:hAnsiTheme="minorHAnsi" w:cstheme="minorHAnsi"/>
          <w:sz w:val="22"/>
          <w:szCs w:val="22"/>
        </w:rPr>
        <w:t>einsteiger</w:t>
      </w:r>
      <w:r w:rsidRPr="00924D2F">
        <w:rPr>
          <w:rFonts w:asciiTheme="minorHAnsi" w:hAnsiTheme="minorHAnsi" w:cstheme="minorHAnsi"/>
          <w:sz w:val="22"/>
          <w:szCs w:val="22"/>
        </w:rPr>
        <w:t xml:space="preserve"> und wiederkehrende Aussteller</w:t>
      </w:r>
      <w:r>
        <w:rPr>
          <w:rFonts w:asciiTheme="minorHAnsi" w:hAnsiTheme="minorHAnsi" w:cstheme="minorHAnsi"/>
          <w:sz w:val="22"/>
          <w:szCs w:val="22"/>
        </w:rPr>
        <w:t xml:space="preserve">: </w:t>
      </w:r>
      <w:r w:rsidR="00D271BD" w:rsidRPr="00033A41">
        <w:rPr>
          <w:rFonts w:asciiTheme="minorHAnsi" w:hAnsiTheme="minorHAnsi" w:cstheme="minorHAnsi"/>
          <w:sz w:val="22"/>
          <w:szCs w:val="22"/>
        </w:rPr>
        <w:t xml:space="preserve">Voglauer, Stooly, </w:t>
      </w:r>
      <w:r w:rsidR="005F0D0F" w:rsidRPr="00033A41">
        <w:rPr>
          <w:rFonts w:asciiTheme="minorHAnsi" w:hAnsiTheme="minorHAnsi" w:cstheme="minorHAnsi"/>
          <w:sz w:val="22"/>
          <w:szCs w:val="22"/>
        </w:rPr>
        <w:t xml:space="preserve">Stommen Group (Brafab, Furninova, conform), </w:t>
      </w:r>
      <w:r w:rsidR="003A3362" w:rsidRPr="00033A41">
        <w:rPr>
          <w:rFonts w:asciiTheme="minorHAnsi" w:hAnsiTheme="minorHAnsi" w:cstheme="minorHAnsi"/>
          <w:sz w:val="22"/>
          <w:szCs w:val="22"/>
        </w:rPr>
        <w:t xml:space="preserve">Key West Bedding, </w:t>
      </w:r>
      <w:r w:rsidR="005F0D0F" w:rsidRPr="00033A41">
        <w:rPr>
          <w:rFonts w:asciiTheme="minorHAnsi" w:hAnsiTheme="minorHAnsi" w:cstheme="minorHAnsi"/>
          <w:sz w:val="22"/>
          <w:szCs w:val="22"/>
        </w:rPr>
        <w:t xml:space="preserve">Caso Furniture, </w:t>
      </w:r>
      <w:r w:rsidR="002911CB" w:rsidRPr="00033A41">
        <w:rPr>
          <w:rFonts w:asciiTheme="minorHAnsi" w:hAnsiTheme="minorHAnsi" w:cstheme="minorHAnsi"/>
          <w:sz w:val="22"/>
          <w:szCs w:val="22"/>
        </w:rPr>
        <w:t>M-Line/DBC International, Bijnen,</w:t>
      </w:r>
      <w:r w:rsidR="003A3362" w:rsidRPr="00033A41">
        <w:rPr>
          <w:rFonts w:asciiTheme="minorHAnsi" w:hAnsiTheme="minorHAnsi" w:cstheme="minorHAnsi"/>
          <w:sz w:val="22"/>
          <w:szCs w:val="22"/>
        </w:rPr>
        <w:t xml:space="preserve"> </w:t>
      </w:r>
      <w:r w:rsidR="00D271BD" w:rsidRPr="00033A41">
        <w:rPr>
          <w:rFonts w:asciiTheme="minorHAnsi" w:hAnsiTheme="minorHAnsi" w:cstheme="minorHAnsi"/>
          <w:sz w:val="22"/>
          <w:szCs w:val="22"/>
        </w:rPr>
        <w:t>Ada</w:t>
      </w:r>
      <w:r w:rsidR="00033A41" w:rsidRPr="00033A41">
        <w:rPr>
          <w:rFonts w:asciiTheme="minorHAnsi" w:hAnsiTheme="minorHAnsi" w:cstheme="minorHAnsi"/>
          <w:sz w:val="22"/>
          <w:szCs w:val="22"/>
        </w:rPr>
        <w:t xml:space="preserve"> Möbelwer</w:t>
      </w:r>
      <w:r w:rsidR="00033A41">
        <w:rPr>
          <w:rFonts w:asciiTheme="minorHAnsi" w:hAnsiTheme="minorHAnsi" w:cstheme="minorHAnsi"/>
          <w:sz w:val="22"/>
          <w:szCs w:val="22"/>
        </w:rPr>
        <w:t>ke</w:t>
      </w:r>
      <w:r w:rsidR="00D271BD" w:rsidRPr="00033A41">
        <w:rPr>
          <w:rFonts w:asciiTheme="minorHAnsi" w:hAnsiTheme="minorHAnsi" w:cstheme="minorHAnsi"/>
          <w:sz w:val="22"/>
          <w:szCs w:val="22"/>
        </w:rPr>
        <w:t>, CBA Meubles/Demeyere, Cacio</w:t>
      </w:r>
      <w:r w:rsidR="002911CB" w:rsidRPr="00033A41">
        <w:rPr>
          <w:rFonts w:asciiTheme="minorHAnsi" w:hAnsiTheme="minorHAnsi" w:cstheme="minorHAnsi"/>
          <w:sz w:val="22"/>
          <w:szCs w:val="22"/>
        </w:rPr>
        <w:t>, Ultima</w:t>
      </w:r>
      <w:r w:rsidR="00737F70" w:rsidRPr="00033A41">
        <w:rPr>
          <w:rFonts w:asciiTheme="minorHAnsi" w:hAnsiTheme="minorHAnsi" w:cstheme="minorHAnsi"/>
          <w:sz w:val="22"/>
          <w:szCs w:val="22"/>
        </w:rPr>
        <w:t>.</w:t>
      </w:r>
    </w:p>
    <w:p w14:paraId="131EED57" w14:textId="07D5D0A2" w:rsidR="0041467A" w:rsidRPr="00C94BD6" w:rsidRDefault="00924D2F" w:rsidP="0041467A">
      <w:pPr>
        <w:pStyle w:val="ListParagraph"/>
        <w:numPr>
          <w:ilvl w:val="1"/>
          <w:numId w:val="17"/>
        </w:numPr>
        <w:rPr>
          <w:rFonts w:asciiTheme="minorHAnsi" w:hAnsiTheme="minorHAnsi" w:cstheme="minorHAnsi"/>
          <w:sz w:val="22"/>
          <w:szCs w:val="22"/>
        </w:rPr>
      </w:pPr>
      <w:r>
        <w:rPr>
          <w:rFonts w:asciiTheme="minorHAnsi" w:hAnsiTheme="minorHAnsi" w:cstheme="minorHAnsi"/>
          <w:sz w:val="22"/>
          <w:szCs w:val="22"/>
        </w:rPr>
        <w:t>Bemerkenswerte Abwesenden: LS</w:t>
      </w:r>
      <w:r w:rsidR="002911CB" w:rsidRPr="00C94BD6">
        <w:rPr>
          <w:rFonts w:asciiTheme="minorHAnsi" w:hAnsiTheme="minorHAnsi" w:cstheme="minorHAnsi"/>
          <w:sz w:val="22"/>
          <w:szCs w:val="22"/>
        </w:rPr>
        <w:t xml:space="preserve"> Bedding</w:t>
      </w:r>
      <w:r w:rsidR="00D271BD" w:rsidRPr="00C94BD6">
        <w:rPr>
          <w:rFonts w:asciiTheme="minorHAnsi" w:hAnsiTheme="minorHAnsi" w:cstheme="minorHAnsi"/>
          <w:sz w:val="22"/>
          <w:szCs w:val="22"/>
        </w:rPr>
        <w:t>,</w:t>
      </w:r>
      <w:r w:rsidR="002911CB" w:rsidRPr="00C94BD6">
        <w:rPr>
          <w:rFonts w:asciiTheme="minorHAnsi" w:hAnsiTheme="minorHAnsi" w:cstheme="minorHAnsi"/>
          <w:sz w:val="22"/>
          <w:szCs w:val="22"/>
        </w:rPr>
        <w:t xml:space="preserve"> Polipol, Calia Italia,</w:t>
      </w:r>
      <w:r w:rsidR="00D271BD" w:rsidRPr="00C94BD6">
        <w:rPr>
          <w:rFonts w:asciiTheme="minorHAnsi" w:hAnsiTheme="minorHAnsi" w:cstheme="minorHAnsi"/>
          <w:sz w:val="22"/>
          <w:szCs w:val="22"/>
        </w:rPr>
        <w:t xml:space="preserve"> Veldema</w:t>
      </w:r>
      <w:r w:rsidR="002911CB" w:rsidRPr="00C94BD6">
        <w:rPr>
          <w:rFonts w:asciiTheme="minorHAnsi" w:hAnsiTheme="minorHAnsi" w:cstheme="minorHAnsi"/>
          <w:sz w:val="22"/>
          <w:szCs w:val="22"/>
        </w:rPr>
        <w:t>n Bedding</w:t>
      </w:r>
      <w:r w:rsidR="00737F70" w:rsidRPr="00C94BD6">
        <w:rPr>
          <w:rFonts w:asciiTheme="minorHAnsi" w:hAnsiTheme="minorHAnsi" w:cstheme="minorHAnsi"/>
          <w:sz w:val="22"/>
          <w:szCs w:val="22"/>
        </w:rPr>
        <w:t>.</w:t>
      </w:r>
    </w:p>
    <w:p w14:paraId="6689F9E1" w14:textId="77777777" w:rsidR="00737F70" w:rsidRPr="00C94BD6" w:rsidRDefault="00737F70" w:rsidP="00737F70">
      <w:pPr>
        <w:pStyle w:val="ListParagraph"/>
        <w:ind w:left="1440"/>
        <w:rPr>
          <w:rFonts w:asciiTheme="minorHAnsi" w:hAnsiTheme="minorHAnsi" w:cstheme="minorHAnsi"/>
          <w:sz w:val="22"/>
          <w:szCs w:val="22"/>
        </w:rPr>
      </w:pPr>
    </w:p>
    <w:p w14:paraId="5377E37D" w14:textId="77777777" w:rsidR="001A129A" w:rsidRPr="00C94BD6" w:rsidRDefault="001A129A" w:rsidP="001A129A">
      <w:pPr>
        <w:pStyle w:val="ListParagraph"/>
        <w:rPr>
          <w:rFonts w:asciiTheme="minorHAnsi" w:hAnsiTheme="minorHAnsi" w:cstheme="minorHAnsi"/>
          <w:sz w:val="22"/>
          <w:szCs w:val="22"/>
        </w:rPr>
      </w:pPr>
    </w:p>
    <w:p w14:paraId="05C226C5" w14:textId="3C4AE760" w:rsidR="00737F70" w:rsidRPr="00924D2F" w:rsidRDefault="00924D2F" w:rsidP="001F3593">
      <w:pPr>
        <w:pStyle w:val="ListParagraph"/>
        <w:numPr>
          <w:ilvl w:val="0"/>
          <w:numId w:val="17"/>
        </w:numPr>
        <w:rPr>
          <w:rFonts w:asciiTheme="minorHAnsi" w:hAnsiTheme="minorHAnsi" w:cstheme="minorHAnsi"/>
          <w:sz w:val="22"/>
          <w:szCs w:val="22"/>
          <w:lang w:val="de-DE"/>
        </w:rPr>
      </w:pPr>
      <w:r w:rsidRPr="00924D2F">
        <w:rPr>
          <w:rFonts w:asciiTheme="minorHAnsi" w:hAnsiTheme="minorHAnsi" w:cstheme="minorHAnsi"/>
          <w:sz w:val="22"/>
          <w:szCs w:val="22"/>
          <w:lang w:val="de-DE"/>
        </w:rPr>
        <w:t>Neu oder wiede auf d</w:t>
      </w:r>
      <w:r>
        <w:rPr>
          <w:rFonts w:asciiTheme="minorHAnsi" w:hAnsiTheme="minorHAnsi" w:cstheme="minorHAnsi"/>
          <w:sz w:val="22"/>
          <w:szCs w:val="22"/>
          <w:lang w:val="de-DE"/>
        </w:rPr>
        <w:t>er Messe:</w:t>
      </w:r>
    </w:p>
    <w:p w14:paraId="0DA915D3" w14:textId="791A6D41" w:rsidR="00CC0B87" w:rsidRDefault="00CC0B87" w:rsidP="00EA43A2">
      <w:pPr>
        <w:pStyle w:val="ListParagraph"/>
        <w:rPr>
          <w:rFonts w:asciiTheme="minorHAnsi" w:hAnsiTheme="minorHAnsi" w:cstheme="minorHAnsi"/>
          <w:sz w:val="22"/>
          <w:szCs w:val="22"/>
          <w:lang w:val="de-DE"/>
        </w:rPr>
      </w:pPr>
      <w:r w:rsidRPr="00CC0B87">
        <w:rPr>
          <w:rFonts w:asciiTheme="minorHAnsi" w:hAnsiTheme="minorHAnsi" w:cstheme="minorHAnsi"/>
          <w:sz w:val="22"/>
          <w:szCs w:val="22"/>
          <w:lang w:val="de-DE"/>
        </w:rPr>
        <w:t>Eines der Ziele, die wir uns gesetzt haben, ist es, eine Plattform für ein breiteres Publikum innerhalb der Möbelbranche zu schaffen, und zwar möglichst über einen längeren Zeitraum hinweg. Die meisten Neuerungen, die wir in diesem Kapitel erwähnen werden, haben ihren Ursprung in dieser Au</w:t>
      </w:r>
      <w:r>
        <w:rPr>
          <w:rFonts w:asciiTheme="minorHAnsi" w:hAnsiTheme="minorHAnsi" w:cstheme="minorHAnsi"/>
          <w:sz w:val="22"/>
          <w:szCs w:val="22"/>
          <w:lang w:val="de-DE"/>
        </w:rPr>
        <w:t>sgangspunkt.</w:t>
      </w:r>
    </w:p>
    <w:p w14:paraId="49FFC95B" w14:textId="77777777" w:rsidR="00CC0B87" w:rsidRDefault="00CC0B87" w:rsidP="00EA43A2">
      <w:pPr>
        <w:pStyle w:val="ListParagraph"/>
        <w:rPr>
          <w:rFonts w:asciiTheme="minorHAnsi" w:hAnsiTheme="minorHAnsi" w:cstheme="minorHAnsi"/>
          <w:sz w:val="22"/>
          <w:szCs w:val="22"/>
        </w:rPr>
      </w:pPr>
      <w:r w:rsidRPr="00CC0B87">
        <w:rPr>
          <w:rFonts w:asciiTheme="minorHAnsi" w:hAnsiTheme="minorHAnsi" w:cstheme="minorHAnsi"/>
          <w:sz w:val="22"/>
          <w:szCs w:val="22"/>
          <w:lang w:val="de-DE"/>
        </w:rPr>
        <w:t xml:space="preserve">In diesem Jahr haben wir bereits mit der Schaffung eines neuen Segments begonnen: 'Bubble up your Store' ist eine Präsentation von Waren und Dienstleistungen, die jedes Möbelgeschäft aufwerten können, wobei der Schwerpunkt auf der Verkaufsfläche selbst liegt, sowohl on- als auch offline, aber auch für das Geschäft im Allgemeinen. Der Kunde von heute erwartet nicht nur, dass er Produkte sieht, wenn er ein Möbelgeschäft betritt, denn dafür hat er das Internet. Der Kunde von heute will sich willkommen fühlen, eine gute Atmosphäre erleben, sich von einzelnen Möbeln in einer durchdachten Anordnung inspirieren lassen und Komplettlösungen entdecken. </w:t>
      </w:r>
      <w:r w:rsidRPr="00CC0B87">
        <w:rPr>
          <w:rFonts w:asciiTheme="minorHAnsi" w:hAnsiTheme="minorHAnsi" w:cstheme="minorHAnsi"/>
          <w:sz w:val="22"/>
          <w:szCs w:val="22"/>
        </w:rPr>
        <w:t>Alle Sinne müssen auf die richtige Weise stimuliert werden. Wir sprechen über Duftmarketing, Audio, Visuals und direkte Unterstützung.</w:t>
      </w:r>
    </w:p>
    <w:p w14:paraId="13997690" w14:textId="74D45B54" w:rsidR="00612964" w:rsidRPr="00CC0B87" w:rsidRDefault="00CC0B87" w:rsidP="00EA43A2">
      <w:pPr>
        <w:pStyle w:val="ListParagraph"/>
        <w:rPr>
          <w:rFonts w:asciiTheme="minorHAnsi" w:hAnsiTheme="minorHAnsi" w:cstheme="minorHAnsi"/>
          <w:sz w:val="22"/>
          <w:szCs w:val="22"/>
          <w:lang w:val="de-DE"/>
        </w:rPr>
      </w:pPr>
      <w:r w:rsidRPr="00CC0B87">
        <w:rPr>
          <w:rFonts w:asciiTheme="minorHAnsi" w:hAnsiTheme="minorHAnsi" w:cstheme="minorHAnsi"/>
          <w:sz w:val="22"/>
          <w:szCs w:val="22"/>
          <w:lang w:val="de-DE"/>
        </w:rPr>
        <w:t>Da wir viele Gemeinsamkeiten zwischen den Verkaufsräumen unserer Besucher und unserem Messegelände sehen, möchten wir spontan eine Frage beantworten, die jeden wach hält: Wie sieht die Zukunft der physischen Messen in einer Online-Welt aus? Der Grundgedanke ist einfach: Online und physisch sind einfach untrennbar. Es genügt, wenn Sie mit dem Finger auf den Bildschirm Ihres Mobiltelefons tippen, um zu verstehen, was wir meinen: Der Online-Raum ist hauptsächlich dazu da, den physischen Raum zu unterstützen. Nur selten ist eine digitale Lösung ein vollwertiger Ersatz für ihr physisches Gegenstück. Um es einfach auszudrücken: Niemand wird sich jemals auf eine Online-Couch legen, um ihre Belastbarkeit zu testen.</w:t>
      </w:r>
    </w:p>
    <w:p w14:paraId="52CB9013" w14:textId="7FA18771" w:rsidR="00512CA5" w:rsidRPr="00CC0B87" w:rsidRDefault="00CC0B87" w:rsidP="00EA43A2">
      <w:pPr>
        <w:pStyle w:val="ListParagraph"/>
        <w:rPr>
          <w:rFonts w:asciiTheme="minorHAnsi" w:hAnsiTheme="minorHAnsi" w:cstheme="minorHAnsi"/>
          <w:sz w:val="22"/>
          <w:szCs w:val="22"/>
          <w:lang w:val="de-DE"/>
        </w:rPr>
      </w:pPr>
      <w:r w:rsidRPr="00CC0B87">
        <w:rPr>
          <w:rFonts w:asciiTheme="minorHAnsi" w:hAnsiTheme="minorHAnsi" w:cstheme="minorHAnsi"/>
          <w:sz w:val="22"/>
          <w:szCs w:val="22"/>
          <w:lang w:val="de-DE"/>
        </w:rPr>
        <w:t>Neben 'Bubble up Your Store' haben wir zusätzliche Anstrengungen unternommen, um unsere Designer und Design-Akademien ins rechte Licht zu rücken. Die Besucher können sich von den Kreationen junger Designer inspirieren lassen, die durch die Arbeiten erfahrener Designer ergänzt werden, die bereit sind, ihre Modelle auf den Markt zu bringen</w:t>
      </w:r>
      <w:r>
        <w:rPr>
          <w:rFonts w:asciiTheme="minorHAnsi" w:hAnsiTheme="minorHAnsi" w:cstheme="minorHAnsi"/>
          <w:sz w:val="22"/>
          <w:szCs w:val="22"/>
          <w:lang w:val="de-DE"/>
        </w:rPr>
        <w:t>.</w:t>
      </w:r>
    </w:p>
    <w:p w14:paraId="3FB66153" w14:textId="6A08EBAD" w:rsidR="00EA43A2" w:rsidRPr="00CC0B87" w:rsidRDefault="00CC0B87" w:rsidP="00EA43A2">
      <w:pPr>
        <w:pStyle w:val="ListParagraph"/>
        <w:rPr>
          <w:rFonts w:asciiTheme="minorHAnsi" w:hAnsiTheme="minorHAnsi" w:cstheme="minorHAnsi"/>
          <w:sz w:val="22"/>
          <w:szCs w:val="22"/>
          <w:lang w:val="de-DE"/>
        </w:rPr>
      </w:pPr>
      <w:r w:rsidRPr="00CC0B87">
        <w:rPr>
          <w:rFonts w:asciiTheme="minorHAnsi" w:hAnsiTheme="minorHAnsi" w:cstheme="minorHAnsi"/>
          <w:sz w:val="22"/>
          <w:szCs w:val="22"/>
          <w:lang w:val="de-DE"/>
        </w:rPr>
        <w:lastRenderedPageBreak/>
        <w:t xml:space="preserve">Darüber hinaus haben wir in der Halle 6 frühzeitig einen Bereich eingerichtet, in dem alle Hersteller von Betten und Bettwaren, die nicht selbst in der Halle 6 ausstellen, die Möglichkeit haben, ihre Produkte den Einkäufern zu präsentieren, die sie sonst </w:t>
      </w:r>
      <w:r>
        <w:rPr>
          <w:rFonts w:asciiTheme="minorHAnsi" w:hAnsiTheme="minorHAnsi" w:cstheme="minorHAnsi"/>
          <w:sz w:val="22"/>
          <w:szCs w:val="22"/>
          <w:lang w:val="de-DE"/>
        </w:rPr>
        <w:t xml:space="preserve">vielleicht </w:t>
      </w:r>
      <w:r w:rsidRPr="00CC0B87">
        <w:rPr>
          <w:rFonts w:asciiTheme="minorHAnsi" w:hAnsiTheme="minorHAnsi" w:cstheme="minorHAnsi"/>
          <w:sz w:val="22"/>
          <w:szCs w:val="22"/>
          <w:lang w:val="de-DE"/>
        </w:rPr>
        <w:t>bei ihrem Besuch in Brüssel verpassen würden. Sie finden sie am Stand 6-307, The Woods.</w:t>
      </w:r>
    </w:p>
    <w:p w14:paraId="0CC2EA91" w14:textId="77777777" w:rsidR="00CC0B87" w:rsidRPr="00CC0B87" w:rsidRDefault="00CC0B87" w:rsidP="00EA43A2">
      <w:pPr>
        <w:pStyle w:val="ListParagraph"/>
        <w:rPr>
          <w:rFonts w:asciiTheme="minorHAnsi" w:hAnsiTheme="minorHAnsi" w:cstheme="minorHAnsi"/>
          <w:sz w:val="22"/>
          <w:szCs w:val="22"/>
          <w:lang w:val="de-DE"/>
        </w:rPr>
      </w:pPr>
    </w:p>
    <w:p w14:paraId="563E58A9" w14:textId="4857273E" w:rsidR="00612964" w:rsidRPr="00CC0B87" w:rsidRDefault="00CC0B87">
      <w:pPr>
        <w:rPr>
          <w:lang w:val="de-DE"/>
        </w:rPr>
      </w:pPr>
      <w:r w:rsidRPr="00CC0B87">
        <w:rPr>
          <w:lang w:val="de-DE"/>
        </w:rPr>
        <w:t xml:space="preserve">Wie bereits erwähnt, sind wir der Meinung, dass sich Off- und Online gegenseitig unterstützen sollten. Aus diesem Grund haben wir in diesem Jahr einen neuen Blog mit einem Newsletter namens 'BRUSSELS FURNITURE </w:t>
      </w:r>
      <w:proofErr w:type="spellStart"/>
      <w:r w:rsidRPr="00CC0B87">
        <w:rPr>
          <w:lang w:val="de-DE"/>
        </w:rPr>
        <w:t>afFAIR</w:t>
      </w:r>
      <w:proofErr w:type="spellEnd"/>
      <w:r w:rsidRPr="00CC0B87">
        <w:rPr>
          <w:lang w:val="de-DE"/>
        </w:rPr>
        <w:t>' ins Leben gerufen. Diese soll das Ihnen bekannte BE-Magazin ersetzen. Für uns ist dies eine Gelegenheit, unseren Ausstellern auch außerhalb der 4 Messetage zusätzliche Sichtbarkeit zu bieten. Der Name spricht für sich: Was passiert auf der Möbelmesse, und wer ist dabei? Wenn Sie den Newsletter nicht erhalten haben, geben Sie uns bitte Bescheid!</w:t>
      </w:r>
    </w:p>
    <w:p w14:paraId="6F63F0DF" w14:textId="56DF8113" w:rsidR="00D022C7" w:rsidRPr="00C50B79" w:rsidRDefault="00C50B79">
      <w:pPr>
        <w:rPr>
          <w:lang w:val="de-DE"/>
        </w:rPr>
      </w:pPr>
      <w:r w:rsidRPr="00C50B79">
        <w:rPr>
          <w:lang w:val="de-DE"/>
        </w:rPr>
        <w:t>Abschließend möchten wir Ihnen nochmals für Ihre Aufmerksamkeit danken. Wir versuchen, so oft wie möglich erreichbar zu sein, zögern Sie also nicht, uns zu besuchen. Gerne nehmen wir uns jetzt die Zeit, Ihre Fragen zu beantworten!</w:t>
      </w:r>
    </w:p>
    <w:p w14:paraId="01636562" w14:textId="77777777" w:rsidR="00735310" w:rsidRPr="00C50B79" w:rsidRDefault="00735310">
      <w:pPr>
        <w:rPr>
          <w:lang w:val="de-DE"/>
        </w:rPr>
      </w:pPr>
    </w:p>
    <w:sectPr w:rsidR="00735310" w:rsidRPr="00C50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8218753A">
      <w:start w:val="1000"/>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54629"/>
    <w:multiLevelType w:val="hybridMultilevel"/>
    <w:tmpl w:val="3C3A0746"/>
    <w:lvl w:ilvl="0" w:tplc="715E9658">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25F32229"/>
    <w:multiLevelType w:val="hybridMultilevel"/>
    <w:tmpl w:val="A282CF84"/>
    <w:lvl w:ilvl="0" w:tplc="B7165F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DD92BF8"/>
    <w:multiLevelType w:val="hybridMultilevel"/>
    <w:tmpl w:val="B058B518"/>
    <w:lvl w:ilvl="0" w:tplc="2C08AE56">
      <w:start w:val="3191"/>
      <w:numFmt w:val="decimal"/>
      <w:lvlText w:val="%1"/>
      <w:lvlJc w:val="left"/>
      <w:pPr>
        <w:tabs>
          <w:tab w:val="num" w:pos="5655"/>
        </w:tabs>
        <w:ind w:left="5655" w:hanging="555"/>
      </w:pPr>
      <w:rPr>
        <w:rFonts w:hint="default"/>
      </w:rPr>
    </w:lvl>
    <w:lvl w:ilvl="1" w:tplc="04130019" w:tentative="1">
      <w:start w:val="1"/>
      <w:numFmt w:val="lowerLetter"/>
      <w:lvlText w:val="%2."/>
      <w:lvlJc w:val="left"/>
      <w:pPr>
        <w:tabs>
          <w:tab w:val="num" w:pos="6180"/>
        </w:tabs>
        <w:ind w:left="6180" w:hanging="360"/>
      </w:pPr>
    </w:lvl>
    <w:lvl w:ilvl="2" w:tplc="0413001B" w:tentative="1">
      <w:start w:val="1"/>
      <w:numFmt w:val="lowerRoman"/>
      <w:lvlText w:val="%3."/>
      <w:lvlJc w:val="right"/>
      <w:pPr>
        <w:tabs>
          <w:tab w:val="num" w:pos="6900"/>
        </w:tabs>
        <w:ind w:left="6900" w:hanging="180"/>
      </w:pPr>
    </w:lvl>
    <w:lvl w:ilvl="3" w:tplc="0413000F" w:tentative="1">
      <w:start w:val="1"/>
      <w:numFmt w:val="decimal"/>
      <w:lvlText w:val="%4."/>
      <w:lvlJc w:val="left"/>
      <w:pPr>
        <w:tabs>
          <w:tab w:val="num" w:pos="7620"/>
        </w:tabs>
        <w:ind w:left="7620" w:hanging="360"/>
      </w:pPr>
    </w:lvl>
    <w:lvl w:ilvl="4" w:tplc="04130019" w:tentative="1">
      <w:start w:val="1"/>
      <w:numFmt w:val="lowerLetter"/>
      <w:lvlText w:val="%5."/>
      <w:lvlJc w:val="left"/>
      <w:pPr>
        <w:tabs>
          <w:tab w:val="num" w:pos="8340"/>
        </w:tabs>
        <w:ind w:left="8340" w:hanging="360"/>
      </w:pPr>
    </w:lvl>
    <w:lvl w:ilvl="5" w:tplc="0413001B" w:tentative="1">
      <w:start w:val="1"/>
      <w:numFmt w:val="lowerRoman"/>
      <w:lvlText w:val="%6."/>
      <w:lvlJc w:val="right"/>
      <w:pPr>
        <w:tabs>
          <w:tab w:val="num" w:pos="9060"/>
        </w:tabs>
        <w:ind w:left="9060" w:hanging="180"/>
      </w:pPr>
    </w:lvl>
    <w:lvl w:ilvl="6" w:tplc="0413000F" w:tentative="1">
      <w:start w:val="1"/>
      <w:numFmt w:val="decimal"/>
      <w:lvlText w:val="%7."/>
      <w:lvlJc w:val="left"/>
      <w:pPr>
        <w:tabs>
          <w:tab w:val="num" w:pos="9780"/>
        </w:tabs>
        <w:ind w:left="9780" w:hanging="360"/>
      </w:pPr>
    </w:lvl>
    <w:lvl w:ilvl="7" w:tplc="04130019" w:tentative="1">
      <w:start w:val="1"/>
      <w:numFmt w:val="lowerLetter"/>
      <w:lvlText w:val="%8."/>
      <w:lvlJc w:val="left"/>
      <w:pPr>
        <w:tabs>
          <w:tab w:val="num" w:pos="10500"/>
        </w:tabs>
        <w:ind w:left="10500" w:hanging="360"/>
      </w:pPr>
    </w:lvl>
    <w:lvl w:ilvl="8" w:tplc="0413001B" w:tentative="1">
      <w:start w:val="1"/>
      <w:numFmt w:val="lowerRoman"/>
      <w:lvlText w:val="%9."/>
      <w:lvlJc w:val="right"/>
      <w:pPr>
        <w:tabs>
          <w:tab w:val="num" w:pos="11220"/>
        </w:tabs>
        <w:ind w:left="11220" w:hanging="180"/>
      </w:pPr>
    </w:lvl>
  </w:abstractNum>
  <w:abstractNum w:abstractNumId="6" w15:restartNumberingAfterBreak="0">
    <w:nsid w:val="34F965C0"/>
    <w:multiLevelType w:val="hybridMultilevel"/>
    <w:tmpl w:val="84FACF5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A214C49"/>
    <w:multiLevelType w:val="hybridMultilevel"/>
    <w:tmpl w:val="D68C707E"/>
    <w:lvl w:ilvl="0" w:tplc="CE38C85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AA91568"/>
    <w:multiLevelType w:val="hybridMultilevel"/>
    <w:tmpl w:val="B128E5BE"/>
    <w:lvl w:ilvl="0" w:tplc="71101568">
      <w:start w:val="10"/>
      <w:numFmt w:val="bullet"/>
      <w:lvlText w:val="-"/>
      <w:lvlJc w:val="left"/>
      <w:pPr>
        <w:ind w:left="720" w:hanging="360"/>
      </w:pPr>
      <w:rPr>
        <w:rFonts w:ascii="Myriad Web Pro" w:eastAsia="Times New Roman" w:hAnsi="Myriad Web Pr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F96A79"/>
    <w:multiLevelType w:val="hybridMultilevel"/>
    <w:tmpl w:val="725494DE"/>
    <w:lvl w:ilvl="0" w:tplc="F9A4AFF2">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0" w15:restartNumberingAfterBreak="0">
    <w:nsid w:val="4271267B"/>
    <w:multiLevelType w:val="hybridMultilevel"/>
    <w:tmpl w:val="97E6CA8A"/>
    <w:lvl w:ilvl="0" w:tplc="A4A86E8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D23F08"/>
    <w:multiLevelType w:val="hybridMultilevel"/>
    <w:tmpl w:val="9FD6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B72E8E"/>
    <w:multiLevelType w:val="hybridMultilevel"/>
    <w:tmpl w:val="90D23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A72407"/>
    <w:multiLevelType w:val="hybridMultilevel"/>
    <w:tmpl w:val="FE6AAD18"/>
    <w:lvl w:ilvl="0" w:tplc="43B83A24">
      <w:numFmt w:val="bullet"/>
      <w:lvlText w:val="-"/>
      <w:lvlJc w:val="left"/>
      <w:pPr>
        <w:ind w:left="720" w:hanging="360"/>
      </w:pPr>
      <w:rPr>
        <w:rFonts w:ascii="Myriad Pro" w:eastAsia="Times New Roman" w:hAnsi="Myriad Pro" w:cs="Lucida Sans Unicode"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E504FA"/>
    <w:multiLevelType w:val="hybridMultilevel"/>
    <w:tmpl w:val="1B6072EA"/>
    <w:lvl w:ilvl="0" w:tplc="64881258">
      <w:start w:val="1"/>
      <w:numFmt w:val="bullet"/>
      <w:lvlText w:val=""/>
      <w:lvlJc w:val="left"/>
      <w:pPr>
        <w:tabs>
          <w:tab w:val="num" w:pos="567"/>
        </w:tabs>
        <w:ind w:left="567" w:hanging="567"/>
      </w:pPr>
      <w:rPr>
        <w:rFonts w:ascii="Wingdings 3" w:hAnsi="Wingdings 3"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F1E61"/>
    <w:multiLevelType w:val="hybridMultilevel"/>
    <w:tmpl w:val="3C724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701997"/>
    <w:multiLevelType w:val="hybridMultilevel"/>
    <w:tmpl w:val="16F40BCE"/>
    <w:lvl w:ilvl="0" w:tplc="04F8E558">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947352">
    <w:abstractNumId w:val="0"/>
    <w:lvlOverride w:ilvl="0">
      <w:lvl w:ilvl="0">
        <w:numFmt w:val="bullet"/>
        <w:lvlText w:val=""/>
        <w:legacy w:legacy="1" w:legacySpace="0" w:legacyIndent="0"/>
        <w:lvlJc w:val="left"/>
        <w:rPr>
          <w:rFonts w:ascii="Symbol" w:hAnsi="Symbol" w:hint="default"/>
        </w:rPr>
      </w:lvl>
    </w:lvlOverride>
  </w:num>
  <w:num w:numId="2" w16cid:durableId="1925455455">
    <w:abstractNumId w:val="10"/>
  </w:num>
  <w:num w:numId="3" w16cid:durableId="1595242574">
    <w:abstractNumId w:val="5"/>
  </w:num>
  <w:num w:numId="4" w16cid:durableId="150217861">
    <w:abstractNumId w:val="13"/>
  </w:num>
  <w:num w:numId="5" w16cid:durableId="1667248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3625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26500">
    <w:abstractNumId w:val="11"/>
  </w:num>
  <w:num w:numId="8" w16cid:durableId="860821112">
    <w:abstractNumId w:val="1"/>
  </w:num>
  <w:num w:numId="9" w16cid:durableId="696547820">
    <w:abstractNumId w:val="12"/>
  </w:num>
  <w:num w:numId="10" w16cid:durableId="337277031">
    <w:abstractNumId w:val="4"/>
  </w:num>
  <w:num w:numId="11" w16cid:durableId="2090544167">
    <w:abstractNumId w:val="17"/>
  </w:num>
  <w:num w:numId="12" w16cid:durableId="70346823">
    <w:abstractNumId w:val="14"/>
  </w:num>
  <w:num w:numId="13" w16cid:durableId="874076544">
    <w:abstractNumId w:val="8"/>
  </w:num>
  <w:num w:numId="14" w16cid:durableId="1140466092">
    <w:abstractNumId w:val="16"/>
  </w:num>
  <w:num w:numId="15" w16cid:durableId="1776629940">
    <w:abstractNumId w:val="15"/>
  </w:num>
  <w:num w:numId="16" w16cid:durableId="568344483">
    <w:abstractNumId w:val="2"/>
  </w:num>
  <w:num w:numId="17" w16cid:durableId="1336835506">
    <w:abstractNumId w:val="7"/>
  </w:num>
  <w:num w:numId="18" w16cid:durableId="1559902926">
    <w:abstractNumId w:val="3"/>
  </w:num>
  <w:num w:numId="19" w16cid:durableId="1203637845">
    <w:abstractNumId w:val="9"/>
  </w:num>
  <w:num w:numId="20" w16cid:durableId="1481342264">
    <w:abstractNumId w:val="15"/>
  </w:num>
  <w:num w:numId="21" w16cid:durableId="406002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10"/>
    <w:rsid w:val="00033A41"/>
    <w:rsid w:val="00086DF5"/>
    <w:rsid w:val="000A3399"/>
    <w:rsid w:val="000A65D4"/>
    <w:rsid w:val="000C4A48"/>
    <w:rsid w:val="000E262A"/>
    <w:rsid w:val="001214CF"/>
    <w:rsid w:val="00122FDD"/>
    <w:rsid w:val="00197E47"/>
    <w:rsid w:val="001A129A"/>
    <w:rsid w:val="001C14F3"/>
    <w:rsid w:val="001E2C5F"/>
    <w:rsid w:val="001F3593"/>
    <w:rsid w:val="0023234D"/>
    <w:rsid w:val="00274137"/>
    <w:rsid w:val="002834B7"/>
    <w:rsid w:val="002911CB"/>
    <w:rsid w:val="002928FF"/>
    <w:rsid w:val="002B48C5"/>
    <w:rsid w:val="002E081A"/>
    <w:rsid w:val="002F39F2"/>
    <w:rsid w:val="00351170"/>
    <w:rsid w:val="00371541"/>
    <w:rsid w:val="0037612B"/>
    <w:rsid w:val="003A3362"/>
    <w:rsid w:val="003C5B02"/>
    <w:rsid w:val="003E66D6"/>
    <w:rsid w:val="004134EA"/>
    <w:rsid w:val="0041467A"/>
    <w:rsid w:val="004178F2"/>
    <w:rsid w:val="00420DC9"/>
    <w:rsid w:val="00483CD1"/>
    <w:rsid w:val="00486AD0"/>
    <w:rsid w:val="0050047C"/>
    <w:rsid w:val="00512444"/>
    <w:rsid w:val="00512CA5"/>
    <w:rsid w:val="005323F9"/>
    <w:rsid w:val="00536AE5"/>
    <w:rsid w:val="005B7BDA"/>
    <w:rsid w:val="005C3D87"/>
    <w:rsid w:val="005D2951"/>
    <w:rsid w:val="005F0D0F"/>
    <w:rsid w:val="005F49CD"/>
    <w:rsid w:val="00612964"/>
    <w:rsid w:val="006208C6"/>
    <w:rsid w:val="00647B06"/>
    <w:rsid w:val="00685F6B"/>
    <w:rsid w:val="006C0525"/>
    <w:rsid w:val="006C42FE"/>
    <w:rsid w:val="006F03A7"/>
    <w:rsid w:val="00735310"/>
    <w:rsid w:val="00737F70"/>
    <w:rsid w:val="00785909"/>
    <w:rsid w:val="00797190"/>
    <w:rsid w:val="00825D72"/>
    <w:rsid w:val="00857B78"/>
    <w:rsid w:val="00884A82"/>
    <w:rsid w:val="008E4B58"/>
    <w:rsid w:val="00922022"/>
    <w:rsid w:val="00924D2F"/>
    <w:rsid w:val="00A1091A"/>
    <w:rsid w:val="00A173F6"/>
    <w:rsid w:val="00A2230A"/>
    <w:rsid w:val="00A37268"/>
    <w:rsid w:val="00B06B90"/>
    <w:rsid w:val="00B13D9C"/>
    <w:rsid w:val="00B63EB8"/>
    <w:rsid w:val="00B8152E"/>
    <w:rsid w:val="00B84E76"/>
    <w:rsid w:val="00B8579A"/>
    <w:rsid w:val="00BD0D29"/>
    <w:rsid w:val="00BE68F4"/>
    <w:rsid w:val="00BF1717"/>
    <w:rsid w:val="00BF28CC"/>
    <w:rsid w:val="00C50B79"/>
    <w:rsid w:val="00C54DFF"/>
    <w:rsid w:val="00C94BD6"/>
    <w:rsid w:val="00CC0B87"/>
    <w:rsid w:val="00CE2796"/>
    <w:rsid w:val="00D022C7"/>
    <w:rsid w:val="00D16ED2"/>
    <w:rsid w:val="00D271BD"/>
    <w:rsid w:val="00D431E5"/>
    <w:rsid w:val="00D61EF8"/>
    <w:rsid w:val="00D67A68"/>
    <w:rsid w:val="00D80BA5"/>
    <w:rsid w:val="00D90AA2"/>
    <w:rsid w:val="00D913A7"/>
    <w:rsid w:val="00DE55C4"/>
    <w:rsid w:val="00E06BA1"/>
    <w:rsid w:val="00E271ED"/>
    <w:rsid w:val="00E8327E"/>
    <w:rsid w:val="00EA43A2"/>
    <w:rsid w:val="00F629E2"/>
    <w:rsid w:val="00F6785F"/>
    <w:rsid w:val="00F97BFF"/>
    <w:rsid w:val="00FE1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A6CD"/>
  <w15:chartTrackingRefBased/>
  <w15:docId w15:val="{F2A09A3F-5030-478F-80E5-9231EFD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16ED2"/>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noProof/>
      <w:sz w:val="18"/>
      <w:szCs w:val="20"/>
      <w:lang w:val="nl-BE" w:eastAsia="nl-NL"/>
    </w:rPr>
  </w:style>
  <w:style w:type="paragraph" w:styleId="Heading2">
    <w:name w:val="heading 2"/>
    <w:basedOn w:val="Normal"/>
    <w:next w:val="Normal"/>
    <w:link w:val="Heading2Char"/>
    <w:uiPriority w:val="99"/>
    <w:qFormat/>
    <w:rsid w:val="00D16ED2"/>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noProof/>
      <w:sz w:val="24"/>
      <w:szCs w:val="20"/>
      <w:lang w:val="nl-BE" w:eastAsia="nl-NL"/>
    </w:rPr>
  </w:style>
  <w:style w:type="paragraph" w:styleId="Heading3">
    <w:name w:val="heading 3"/>
    <w:basedOn w:val="Normal"/>
    <w:next w:val="Normal"/>
    <w:link w:val="Heading3Char"/>
    <w:uiPriority w:val="99"/>
    <w:qFormat/>
    <w:rsid w:val="00D16ED2"/>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noProof/>
      <w:szCs w:val="20"/>
      <w:lang w:val="nl-BE" w:eastAsia="nl-NL"/>
    </w:rPr>
  </w:style>
  <w:style w:type="paragraph" w:styleId="Heading4">
    <w:name w:val="heading 4"/>
    <w:basedOn w:val="Normal"/>
    <w:next w:val="Normal"/>
    <w:link w:val="Heading4Char"/>
    <w:uiPriority w:val="99"/>
    <w:qFormat/>
    <w:rsid w:val="00D16ED2"/>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noProof/>
      <w:szCs w:val="20"/>
      <w:u w:val="single"/>
      <w:lang w:val="nl-BE" w:eastAsia="nl-NL"/>
    </w:rPr>
  </w:style>
  <w:style w:type="paragraph" w:styleId="Heading5">
    <w:name w:val="heading 5"/>
    <w:basedOn w:val="Normal"/>
    <w:next w:val="Normal"/>
    <w:link w:val="Heading5Char"/>
    <w:uiPriority w:val="99"/>
    <w:qFormat/>
    <w:rsid w:val="00D16ED2"/>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noProof/>
      <w:color w:val="0E0059"/>
      <w:szCs w:val="20"/>
      <w:lang w:val="nl-BE" w:eastAsia="nl-NL"/>
    </w:rPr>
  </w:style>
  <w:style w:type="paragraph" w:styleId="Heading6">
    <w:name w:val="heading 6"/>
    <w:basedOn w:val="Normal"/>
    <w:next w:val="Normal"/>
    <w:link w:val="Heading6Char"/>
    <w:uiPriority w:val="99"/>
    <w:qFormat/>
    <w:rsid w:val="00D16ED2"/>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noProof/>
      <w:sz w:val="40"/>
      <w:szCs w:val="20"/>
      <w:lang w:val="nl-BE" w:eastAsia="nl-NL"/>
    </w:rPr>
  </w:style>
  <w:style w:type="paragraph" w:styleId="Heading7">
    <w:name w:val="heading 7"/>
    <w:basedOn w:val="Normal"/>
    <w:next w:val="Normal"/>
    <w:link w:val="Heading7Char"/>
    <w:uiPriority w:val="99"/>
    <w:unhideWhenUsed/>
    <w:qFormat/>
    <w:rsid w:val="00D16ED2"/>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noProof/>
      <w:color w:val="1F3763" w:themeColor="accent1" w:themeShade="7F"/>
      <w:sz w:val="20"/>
      <w:szCs w:val="20"/>
      <w:lang w:val="nl-BE" w:eastAsia="nl-NL"/>
    </w:rPr>
  </w:style>
  <w:style w:type="paragraph" w:styleId="Heading8">
    <w:name w:val="heading 8"/>
    <w:basedOn w:val="Normal"/>
    <w:next w:val="Normal"/>
    <w:link w:val="Heading8Char"/>
    <w:uiPriority w:val="99"/>
    <w:qFormat/>
    <w:rsid w:val="00D16ED2"/>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val="nl-BE" w:eastAsia="nl-NL"/>
    </w:rPr>
  </w:style>
  <w:style w:type="paragraph" w:styleId="Heading9">
    <w:name w:val="heading 9"/>
    <w:basedOn w:val="Normal"/>
    <w:next w:val="Normal"/>
    <w:link w:val="Heading9Char"/>
    <w:uiPriority w:val="99"/>
    <w:qFormat/>
    <w:rsid w:val="00D16ED2"/>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6ED2"/>
    <w:rPr>
      <w:rFonts w:ascii="Calisto MT" w:eastAsia="Times New Roman" w:hAnsi="Calisto MT" w:cs="Lucida Sans Unicode"/>
      <w:i/>
      <w:iCs/>
      <w:noProof/>
      <w:sz w:val="18"/>
      <w:szCs w:val="20"/>
      <w:lang w:val="nl-BE" w:eastAsia="nl-NL"/>
    </w:rPr>
  </w:style>
  <w:style w:type="character" w:customStyle="1" w:styleId="Heading2Char">
    <w:name w:val="Heading 2 Char"/>
    <w:basedOn w:val="DefaultParagraphFont"/>
    <w:link w:val="Heading2"/>
    <w:uiPriority w:val="99"/>
    <w:rsid w:val="00D16ED2"/>
    <w:rPr>
      <w:rFonts w:ascii="Univers" w:eastAsia="Times New Roman" w:hAnsi="Univers" w:cs="Times New Roman"/>
      <w:noProof/>
      <w:sz w:val="24"/>
      <w:szCs w:val="20"/>
      <w:lang w:val="nl-BE" w:eastAsia="nl-NL"/>
    </w:rPr>
  </w:style>
  <w:style w:type="character" w:customStyle="1" w:styleId="Heading3Char">
    <w:name w:val="Heading 3 Char"/>
    <w:basedOn w:val="DefaultParagraphFont"/>
    <w:link w:val="Heading3"/>
    <w:uiPriority w:val="99"/>
    <w:rsid w:val="00D16ED2"/>
    <w:rPr>
      <w:rFonts w:ascii="Univers" w:eastAsia="Times New Roman" w:hAnsi="Univers" w:cs="Lucida Sans Unicode"/>
      <w:b/>
      <w:bCs/>
      <w:noProof/>
      <w:szCs w:val="20"/>
      <w:lang w:val="nl-BE" w:eastAsia="nl-NL"/>
    </w:rPr>
  </w:style>
  <w:style w:type="character" w:customStyle="1" w:styleId="Heading4Char">
    <w:name w:val="Heading 4 Char"/>
    <w:basedOn w:val="DefaultParagraphFont"/>
    <w:link w:val="Heading4"/>
    <w:uiPriority w:val="99"/>
    <w:rsid w:val="00D16ED2"/>
    <w:rPr>
      <w:rFonts w:ascii="Univers" w:eastAsia="Times New Roman" w:hAnsi="Univers" w:cs="Lucida Sans Unicode"/>
      <w:noProof/>
      <w:szCs w:val="20"/>
      <w:u w:val="single"/>
      <w:lang w:val="nl-BE" w:eastAsia="nl-NL"/>
    </w:rPr>
  </w:style>
  <w:style w:type="character" w:customStyle="1" w:styleId="Heading5Char">
    <w:name w:val="Heading 5 Char"/>
    <w:basedOn w:val="DefaultParagraphFont"/>
    <w:link w:val="Heading5"/>
    <w:uiPriority w:val="99"/>
    <w:rsid w:val="00D16ED2"/>
    <w:rPr>
      <w:rFonts w:ascii="Univers" w:eastAsia="Times New Roman" w:hAnsi="Univers" w:cs="Times New Roman"/>
      <w:i/>
      <w:noProof/>
      <w:color w:val="0E0059"/>
      <w:szCs w:val="20"/>
      <w:lang w:val="nl-BE" w:eastAsia="nl-NL"/>
    </w:rPr>
  </w:style>
  <w:style w:type="character" w:customStyle="1" w:styleId="Heading6Char">
    <w:name w:val="Heading 6 Char"/>
    <w:basedOn w:val="DefaultParagraphFont"/>
    <w:link w:val="Heading6"/>
    <w:uiPriority w:val="99"/>
    <w:rsid w:val="00D16ED2"/>
    <w:rPr>
      <w:rFonts w:ascii="Myriad Pro" w:eastAsia="Times New Roman" w:hAnsi="Myriad Pro" w:cs="Times New Roman"/>
      <w:noProof/>
      <w:sz w:val="40"/>
      <w:szCs w:val="20"/>
      <w:lang w:val="nl-BE" w:eastAsia="nl-NL"/>
    </w:rPr>
  </w:style>
  <w:style w:type="character" w:customStyle="1" w:styleId="Heading7Char">
    <w:name w:val="Heading 7 Char"/>
    <w:basedOn w:val="DefaultParagraphFont"/>
    <w:link w:val="Heading7"/>
    <w:uiPriority w:val="99"/>
    <w:rsid w:val="00D16ED2"/>
    <w:rPr>
      <w:rFonts w:asciiTheme="majorHAnsi" w:eastAsiaTheme="majorEastAsia" w:hAnsiTheme="majorHAnsi" w:cstheme="majorBidi"/>
      <w:i/>
      <w:iCs/>
      <w:noProof/>
      <w:color w:val="1F3763" w:themeColor="accent1" w:themeShade="7F"/>
      <w:sz w:val="20"/>
      <w:szCs w:val="20"/>
      <w:lang w:val="nl-BE" w:eastAsia="nl-NL"/>
    </w:rPr>
  </w:style>
  <w:style w:type="character" w:customStyle="1" w:styleId="Heading8Char">
    <w:name w:val="Heading 8 Char"/>
    <w:basedOn w:val="DefaultParagraphFont"/>
    <w:link w:val="Heading8"/>
    <w:uiPriority w:val="99"/>
    <w:rsid w:val="00D16ED2"/>
    <w:rPr>
      <w:rFonts w:ascii="Myriad Pro" w:eastAsia="Times New Roman" w:hAnsi="Myriad Pro" w:cs="Times New Roman"/>
      <w:b/>
      <w:bCs/>
      <w:i/>
      <w:iCs/>
      <w:spacing w:val="-3"/>
      <w:szCs w:val="20"/>
      <w:lang w:val="nl-BE" w:eastAsia="nl-NL"/>
    </w:rPr>
  </w:style>
  <w:style w:type="character" w:customStyle="1" w:styleId="Heading9Char">
    <w:name w:val="Heading 9 Char"/>
    <w:basedOn w:val="DefaultParagraphFont"/>
    <w:link w:val="Heading9"/>
    <w:uiPriority w:val="99"/>
    <w:rsid w:val="00D16ED2"/>
    <w:rPr>
      <w:rFonts w:ascii="Myriad Pro" w:eastAsia="Times New Roman" w:hAnsi="Myriad Pro" w:cs="Times New Roman"/>
      <w:sz w:val="24"/>
      <w:szCs w:val="20"/>
      <w:lang w:val="nl-NL" w:eastAsia="nl-NL"/>
    </w:rPr>
  </w:style>
  <w:style w:type="paragraph" w:styleId="Header">
    <w:name w:val="header"/>
    <w:basedOn w:val="Normal"/>
    <w:link w:val="Header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HeaderChar">
    <w:name w:val="Header Char"/>
    <w:basedOn w:val="DefaultParagraphFont"/>
    <w:link w:val="Header"/>
    <w:uiPriority w:val="99"/>
    <w:rsid w:val="00D16ED2"/>
    <w:rPr>
      <w:rFonts w:ascii="Times New Roman" w:eastAsia="Times New Roman" w:hAnsi="Times New Roman" w:cs="Times New Roman"/>
      <w:noProof/>
      <w:sz w:val="20"/>
      <w:szCs w:val="20"/>
      <w:lang w:val="nl-BE" w:eastAsia="nl-NL"/>
    </w:rPr>
  </w:style>
  <w:style w:type="paragraph" w:styleId="Footer">
    <w:name w:val="footer"/>
    <w:basedOn w:val="Normal"/>
    <w:link w:val="Footer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FooterChar">
    <w:name w:val="Footer Char"/>
    <w:basedOn w:val="DefaultParagraphFont"/>
    <w:link w:val="Footer"/>
    <w:uiPriority w:val="99"/>
    <w:rsid w:val="00D16ED2"/>
    <w:rPr>
      <w:rFonts w:ascii="Times New Roman" w:eastAsia="Times New Roman" w:hAnsi="Times New Roman" w:cs="Times New Roman"/>
      <w:noProof/>
      <w:sz w:val="20"/>
      <w:szCs w:val="20"/>
      <w:lang w:val="nl-BE" w:eastAsia="nl-NL"/>
    </w:rPr>
  </w:style>
  <w:style w:type="paragraph" w:styleId="BodyText">
    <w:name w:val="Body Text"/>
    <w:basedOn w:val="Normal"/>
    <w:link w:val="BodyTextChar"/>
    <w:uiPriority w:val="99"/>
    <w:rsid w:val="00D16ED2"/>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val="nl-BE" w:eastAsia="nl-NL"/>
    </w:rPr>
  </w:style>
  <w:style w:type="character" w:customStyle="1" w:styleId="BodyTextChar">
    <w:name w:val="Body Text Char"/>
    <w:basedOn w:val="DefaultParagraphFont"/>
    <w:link w:val="BodyText"/>
    <w:uiPriority w:val="99"/>
    <w:rsid w:val="00D16ED2"/>
    <w:rPr>
      <w:rFonts w:ascii="Times New Roman" w:eastAsia="Times New Roman" w:hAnsi="Times New Roman" w:cs="Times New Roman"/>
      <w:noProof/>
      <w:szCs w:val="20"/>
      <w:lang w:val="nl-BE" w:eastAsia="nl-NL"/>
    </w:rPr>
  </w:style>
  <w:style w:type="character" w:styleId="Hyperlink">
    <w:name w:val="Hyperlink"/>
    <w:basedOn w:val="DefaultParagraphFont"/>
    <w:uiPriority w:val="99"/>
    <w:rsid w:val="00D16ED2"/>
    <w:rPr>
      <w:color w:val="0000FF"/>
      <w:u w:val="single"/>
    </w:rPr>
  </w:style>
  <w:style w:type="paragraph" w:styleId="BodyText2">
    <w:name w:val="Body Text 2"/>
    <w:basedOn w:val="Normal"/>
    <w:link w:val="BodyText2Char"/>
    <w:uiPriority w:val="99"/>
    <w:rsid w:val="00D16ED2"/>
    <w:pPr>
      <w:autoSpaceDE w:val="0"/>
      <w:autoSpaceDN w:val="0"/>
      <w:adjustRightInd w:val="0"/>
      <w:spacing w:after="0" w:line="240" w:lineRule="auto"/>
    </w:pPr>
    <w:rPr>
      <w:rFonts w:ascii="Myriad Pro" w:eastAsia="Times New Roman" w:hAnsi="Myriad Pro" w:cs="Arial"/>
      <w:noProof/>
      <w:color w:val="3E3F2C"/>
      <w:sz w:val="20"/>
      <w:szCs w:val="20"/>
      <w:lang w:val="nl-BE" w:eastAsia="nl-NL"/>
    </w:rPr>
  </w:style>
  <w:style w:type="character" w:customStyle="1" w:styleId="BodyText2Char">
    <w:name w:val="Body Text 2 Char"/>
    <w:basedOn w:val="DefaultParagraphFont"/>
    <w:link w:val="BodyText2"/>
    <w:uiPriority w:val="99"/>
    <w:rsid w:val="00D16ED2"/>
    <w:rPr>
      <w:rFonts w:ascii="Myriad Pro" w:eastAsia="Times New Roman" w:hAnsi="Myriad Pro" w:cs="Arial"/>
      <w:noProof/>
      <w:color w:val="3E3F2C"/>
      <w:sz w:val="20"/>
      <w:szCs w:val="20"/>
      <w:lang w:val="nl-BE" w:eastAsia="nl-NL"/>
    </w:rPr>
  </w:style>
  <w:style w:type="paragraph" w:customStyle="1" w:styleId="Lijstalinea1">
    <w:name w:val="Lijstalinea1"/>
    <w:basedOn w:val="Normal"/>
    <w:uiPriority w:val="99"/>
    <w:rsid w:val="00D16ED2"/>
    <w:pPr>
      <w:spacing w:after="200" w:line="276" w:lineRule="auto"/>
      <w:ind w:left="720"/>
      <w:contextualSpacing/>
    </w:pPr>
    <w:rPr>
      <w:rFonts w:ascii="Calibri" w:eastAsia="Times New Roman" w:hAnsi="Calibri" w:cs="Times New Roman"/>
      <w:noProof/>
      <w:lang w:val="nl-BE"/>
    </w:rPr>
  </w:style>
  <w:style w:type="paragraph" w:styleId="ListParagraph">
    <w:name w:val="List Paragraph"/>
    <w:basedOn w:val="Normal"/>
    <w:uiPriority w:val="34"/>
    <w:qFormat/>
    <w:rsid w:val="00D16ED2"/>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lang w:val="nl-BE" w:eastAsia="nl-NL"/>
    </w:rPr>
  </w:style>
  <w:style w:type="paragraph" w:styleId="BalloonText">
    <w:name w:val="Balloon Text"/>
    <w:basedOn w:val="Normal"/>
    <w:link w:val="BalloonTextChar"/>
    <w:uiPriority w:val="99"/>
    <w:rsid w:val="00D16ED2"/>
    <w:pPr>
      <w:overflowPunct w:val="0"/>
      <w:autoSpaceDE w:val="0"/>
      <w:autoSpaceDN w:val="0"/>
      <w:adjustRightInd w:val="0"/>
      <w:spacing w:after="0" w:line="240" w:lineRule="auto"/>
      <w:textAlignment w:val="baseline"/>
    </w:pPr>
    <w:rPr>
      <w:rFonts w:ascii="Tahoma" w:eastAsia="Times New Roman" w:hAnsi="Tahoma" w:cs="Tahoma"/>
      <w:noProof/>
      <w:sz w:val="16"/>
      <w:szCs w:val="16"/>
      <w:lang w:val="nl-BE" w:eastAsia="nl-NL"/>
    </w:rPr>
  </w:style>
  <w:style w:type="character" w:customStyle="1" w:styleId="BalloonTextChar">
    <w:name w:val="Balloon Text Char"/>
    <w:basedOn w:val="DefaultParagraphFont"/>
    <w:link w:val="BalloonText"/>
    <w:uiPriority w:val="99"/>
    <w:rsid w:val="00D16ED2"/>
    <w:rPr>
      <w:rFonts w:ascii="Tahoma" w:eastAsia="Times New Roman" w:hAnsi="Tahoma" w:cs="Tahoma"/>
      <w:noProof/>
      <w:sz w:val="16"/>
      <w:szCs w:val="16"/>
      <w:lang w:val="nl-BE" w:eastAsia="nl-NL"/>
    </w:rPr>
  </w:style>
  <w:style w:type="table" w:styleId="TableGrid">
    <w:name w:val="Table Grid"/>
    <w:basedOn w:val="TableNormal"/>
    <w:rsid w:val="00D16ED2"/>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Normal"/>
    <w:uiPriority w:val="99"/>
    <w:locked/>
    <w:rsid w:val="00D16ED2"/>
    <w:pPr>
      <w:spacing w:after="0" w:line="260" w:lineRule="atLeast"/>
      <w:jc w:val="both"/>
    </w:pPr>
    <w:rPr>
      <w:rFonts w:ascii="Arial" w:eastAsia="Times New Roman" w:hAnsi="Arial" w:cs="Arial"/>
      <w:noProof/>
      <w:sz w:val="20"/>
      <w:szCs w:val="24"/>
      <w:lang w:val="en-GB" w:eastAsia="en-GB"/>
    </w:rPr>
  </w:style>
  <w:style w:type="character" w:customStyle="1" w:styleId="widget-contact-value">
    <w:name w:val="widget-contact-value"/>
    <w:basedOn w:val="DefaultParagraphFont"/>
    <w:rsid w:val="00D16ED2"/>
  </w:style>
  <w:style w:type="paragraph" w:customStyle="1" w:styleId="Aanhef1">
    <w:name w:val="Aanhef1"/>
    <w:basedOn w:val="Normal"/>
    <w:next w:val="Normal"/>
    <w:link w:val="Tekensvooraanhef"/>
    <w:uiPriority w:val="1"/>
    <w:unhideWhenUsed/>
    <w:qFormat/>
    <w:rsid w:val="00D16ED2"/>
    <w:pPr>
      <w:spacing w:before="720" w:line="288" w:lineRule="auto"/>
    </w:pPr>
    <w:rPr>
      <w:color w:val="595959" w:themeColor="text1" w:themeTint="A6"/>
      <w:kern w:val="20"/>
      <w:sz w:val="20"/>
      <w:szCs w:val="20"/>
      <w:lang w:val="nl-NL" w:eastAsia="nl-NL"/>
    </w:rPr>
  </w:style>
  <w:style w:type="character" w:customStyle="1" w:styleId="Tekensvooraanhef">
    <w:name w:val="Tekens voor aanhef"/>
    <w:basedOn w:val="DefaultParagraphFont"/>
    <w:link w:val="Aanhef1"/>
    <w:uiPriority w:val="1"/>
    <w:rsid w:val="00D16ED2"/>
    <w:rPr>
      <w:color w:val="595959" w:themeColor="text1" w:themeTint="A6"/>
      <w:kern w:val="20"/>
      <w:sz w:val="20"/>
      <w:szCs w:val="20"/>
      <w:lang w:val="nl-NL" w:eastAsia="nl-NL"/>
    </w:rPr>
  </w:style>
  <w:style w:type="paragraph" w:customStyle="1" w:styleId="bijschrift">
    <w:name w:val="bijschrift"/>
    <w:basedOn w:val="Normal"/>
    <w:uiPriority w:val="99"/>
    <w:rsid w:val="00D16ED2"/>
    <w:pPr>
      <w:overflowPunct w:val="0"/>
      <w:autoSpaceDE w:val="0"/>
      <w:autoSpaceDN w:val="0"/>
      <w:adjustRightInd w:val="0"/>
      <w:spacing w:after="0" w:line="240" w:lineRule="auto"/>
      <w:textAlignment w:val="baseline"/>
    </w:pPr>
    <w:rPr>
      <w:rFonts w:ascii="Courier" w:eastAsia="Times New Roman" w:hAnsi="Courier" w:cs="Times New Roman"/>
      <w:sz w:val="24"/>
      <w:szCs w:val="20"/>
      <w:lang w:val="nl-NL" w:eastAsia="nl-NL"/>
    </w:rPr>
  </w:style>
  <w:style w:type="paragraph" w:customStyle="1" w:styleId="xl24">
    <w:name w:val="xl24"/>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5">
    <w:name w:val="xl25"/>
    <w:basedOn w:val="Normal"/>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6">
    <w:name w:val="xl26"/>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7">
    <w:name w:val="xl27"/>
    <w:basedOn w:val="Normal"/>
    <w:uiPriority w:val="99"/>
    <w:rsid w:val="00D16ED2"/>
    <w:pP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8">
    <w:name w:val="xl28"/>
    <w:basedOn w:val="Normal"/>
    <w:uiPriority w:val="99"/>
    <w:rsid w:val="00D16ED2"/>
    <w:pPr>
      <w:spacing w:before="100" w:beforeAutospacing="1" w:after="100" w:afterAutospacing="1" w:line="240" w:lineRule="auto"/>
      <w:jc w:val="center"/>
      <w:textAlignment w:val="center"/>
    </w:pPr>
    <w:rPr>
      <w:rFonts w:ascii="Univers" w:eastAsia="Arial Unicode MS" w:hAnsi="Univers" w:cs="Arial Unicode MS"/>
      <w:b/>
      <w:bCs/>
      <w:sz w:val="24"/>
      <w:szCs w:val="24"/>
      <w:lang w:val="nl-NL" w:eastAsia="nl-NL"/>
    </w:rPr>
  </w:style>
  <w:style w:type="paragraph" w:customStyle="1" w:styleId="xl29">
    <w:name w:val="xl29"/>
    <w:basedOn w:val="Normal"/>
    <w:uiPriority w:val="99"/>
    <w:rsid w:val="00D16E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0">
    <w:name w:val="xl30"/>
    <w:basedOn w:val="Normal"/>
    <w:uiPriority w:val="99"/>
    <w:rsid w:val="00D16ED2"/>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1">
    <w:name w:val="xl31"/>
    <w:basedOn w:val="Normal"/>
    <w:uiPriority w:val="99"/>
    <w:rsid w:val="00D16ED2"/>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2">
    <w:name w:val="xl32"/>
    <w:basedOn w:val="Normal"/>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3">
    <w:name w:val="xl33"/>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4">
    <w:name w:val="xl34"/>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5">
    <w:name w:val="xl35"/>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6">
    <w:name w:val="xl36"/>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7">
    <w:name w:val="xl37"/>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8">
    <w:name w:val="xl38"/>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39">
    <w:name w:val="xl39"/>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0">
    <w:name w:val="xl40"/>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1">
    <w:name w:val="xl41"/>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2">
    <w:name w:val="xl42"/>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3">
    <w:name w:val="xl43"/>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4">
    <w:name w:val="xl44"/>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5">
    <w:name w:val="xl45"/>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6">
    <w:name w:val="xl46"/>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7">
    <w:name w:val="xl47"/>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8">
    <w:name w:val="xl48"/>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9">
    <w:name w:val="xl49"/>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0">
    <w:name w:val="xl50"/>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1">
    <w:name w:val="xl51"/>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2">
    <w:name w:val="xl52"/>
    <w:basedOn w:val="Normal"/>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3">
    <w:name w:val="xl53"/>
    <w:basedOn w:val="Normal"/>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54">
    <w:name w:val="xl54"/>
    <w:basedOn w:val="Normal"/>
    <w:uiPriority w:val="99"/>
    <w:rsid w:val="00D16ED2"/>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5">
    <w:name w:val="xl55"/>
    <w:basedOn w:val="Normal"/>
    <w:uiPriority w:val="99"/>
    <w:rsid w:val="00D16ED2"/>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6">
    <w:name w:val="xl56"/>
    <w:basedOn w:val="Normal"/>
    <w:uiPriority w:val="99"/>
    <w:rsid w:val="00D16ED2"/>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7">
    <w:name w:val="xl57"/>
    <w:basedOn w:val="Normal"/>
    <w:uiPriority w:val="99"/>
    <w:rsid w:val="00D16ED2"/>
    <w:pP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8">
    <w:name w:val="xl58"/>
    <w:basedOn w:val="Normal"/>
    <w:uiPriority w:val="99"/>
    <w:rsid w:val="00D16ED2"/>
    <w:pPr>
      <w:spacing w:before="100" w:beforeAutospacing="1" w:after="100" w:afterAutospacing="1" w:line="240" w:lineRule="auto"/>
      <w:textAlignment w:val="center"/>
    </w:pPr>
    <w:rPr>
      <w:rFonts w:ascii="Univers" w:eastAsia="Arial Unicode MS" w:hAnsi="Univers" w:cs="Arial Unicode MS"/>
      <w:color w:val="000000"/>
      <w:sz w:val="18"/>
      <w:szCs w:val="18"/>
      <w:lang w:val="nl-NL" w:eastAsia="nl-NL"/>
    </w:rPr>
  </w:style>
  <w:style w:type="paragraph" w:customStyle="1" w:styleId="xl59">
    <w:name w:val="xl59"/>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60">
    <w:name w:val="xl60"/>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paragraph" w:customStyle="1" w:styleId="xl61">
    <w:name w:val="xl61"/>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character" w:styleId="PageNumber">
    <w:name w:val="page number"/>
    <w:basedOn w:val="DefaultParagraphFont"/>
    <w:uiPriority w:val="99"/>
    <w:semiHidden/>
    <w:rsid w:val="00D16ED2"/>
    <w:rPr>
      <w:rFonts w:cs="Times New Roman"/>
    </w:rPr>
  </w:style>
  <w:style w:type="paragraph" w:customStyle="1" w:styleId="xl22">
    <w:name w:val="xl22"/>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23">
    <w:name w:val="xl23"/>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styleId="NormalWeb">
    <w:name w:val="Normal (Web)"/>
    <w:basedOn w:val="Normal"/>
    <w:uiPriority w:val="99"/>
    <w:unhideWhenUsed/>
    <w:rsid w:val="00D16ED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D16ED2"/>
    <w:rPr>
      <w:sz w:val="16"/>
      <w:szCs w:val="16"/>
    </w:rPr>
  </w:style>
  <w:style w:type="paragraph" w:styleId="CommentText">
    <w:name w:val="annotation text"/>
    <w:basedOn w:val="Normal"/>
    <w:link w:val="CommentTextChar"/>
    <w:uiPriority w:val="99"/>
    <w:semiHidden/>
    <w:unhideWhenUsed/>
    <w:rsid w:val="00D16E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uiPriority w:val="99"/>
    <w:semiHidden/>
    <w:rsid w:val="00D16ED2"/>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16ED2"/>
    <w:rPr>
      <w:b/>
      <w:bCs/>
    </w:rPr>
  </w:style>
  <w:style w:type="character" w:customStyle="1" w:styleId="CommentSubjectChar">
    <w:name w:val="Comment Subject Char"/>
    <w:basedOn w:val="CommentTextChar"/>
    <w:link w:val="CommentSubject"/>
    <w:uiPriority w:val="99"/>
    <w:semiHidden/>
    <w:rsid w:val="00D16ED2"/>
    <w:rPr>
      <w:rFonts w:ascii="Times New Roman" w:eastAsia="Times New Roman" w:hAnsi="Times New Roman" w:cs="Times New Roman"/>
      <w:b/>
      <w:bCs/>
      <w:sz w:val="20"/>
      <w:szCs w:val="20"/>
      <w:lang w:val="nl-NL" w:eastAsia="nl-NL"/>
    </w:rPr>
  </w:style>
  <w:style w:type="character" w:styleId="UnresolvedMention">
    <w:name w:val="Unresolved Mention"/>
    <w:basedOn w:val="DefaultParagraphFont"/>
    <w:uiPriority w:val="99"/>
    <w:semiHidden/>
    <w:unhideWhenUsed/>
    <w:rsid w:val="00D16ED2"/>
    <w:rPr>
      <w:color w:val="605E5C"/>
      <w:shd w:val="clear" w:color="auto" w:fill="E1DFDD"/>
    </w:rPr>
  </w:style>
  <w:style w:type="character" w:styleId="FollowedHyperlink">
    <w:name w:val="FollowedHyperlink"/>
    <w:basedOn w:val="DefaultParagraphFont"/>
    <w:uiPriority w:val="99"/>
    <w:semiHidden/>
    <w:unhideWhenUsed/>
    <w:rsid w:val="00D16ED2"/>
    <w:rPr>
      <w:color w:val="800080"/>
      <w:u w:val="single"/>
    </w:rPr>
  </w:style>
  <w:style w:type="paragraph" w:customStyle="1" w:styleId="msonormal0">
    <w:name w:val="msonormal"/>
    <w:basedOn w:val="Normal"/>
    <w:uiPriority w:val="99"/>
    <w:rsid w:val="00D16ED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Normal"/>
    <w:uiPriority w:val="99"/>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8">
    <w:name w:val="xl68"/>
    <w:basedOn w:val="Normal"/>
    <w:uiPriority w:val="99"/>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9">
    <w:name w:val="xl69"/>
    <w:basedOn w:val="Normal"/>
    <w:uiPriority w:val="99"/>
    <w:rsid w:val="00D16ED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0">
    <w:name w:val="xl70"/>
    <w:basedOn w:val="Normal"/>
    <w:uiPriority w:val="99"/>
    <w:rsid w:val="00D16ED2"/>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1">
    <w:name w:val="xl71"/>
    <w:basedOn w:val="Normal"/>
    <w:uiPriority w:val="99"/>
    <w:rsid w:val="00D16ED2"/>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2">
    <w:name w:val="xl72"/>
    <w:basedOn w:val="Normal"/>
    <w:uiPriority w:val="99"/>
    <w:rsid w:val="00D16ED2"/>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3">
    <w:name w:val="xl73"/>
    <w:basedOn w:val="Normal"/>
    <w:uiPriority w:val="99"/>
    <w:rsid w:val="00D16ED2"/>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4">
    <w:name w:val="xl74"/>
    <w:basedOn w:val="Normal"/>
    <w:uiPriority w:val="99"/>
    <w:rsid w:val="00D16ED2"/>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75">
    <w:name w:val="xl75"/>
    <w:basedOn w:val="Normal"/>
    <w:uiPriority w:val="99"/>
    <w:rsid w:val="00D16ED2"/>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6">
    <w:name w:val="xl76"/>
    <w:basedOn w:val="Normal"/>
    <w:uiPriority w:val="99"/>
    <w:rsid w:val="00D16ED2"/>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7">
    <w:name w:val="xl77"/>
    <w:basedOn w:val="Normal"/>
    <w:uiPriority w:val="99"/>
    <w:rsid w:val="00D16ED2"/>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8">
    <w:name w:val="xl78"/>
    <w:basedOn w:val="Normal"/>
    <w:uiPriority w:val="99"/>
    <w:rsid w:val="00D16ED2"/>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9">
    <w:name w:val="xl79"/>
    <w:basedOn w:val="Normal"/>
    <w:uiPriority w:val="99"/>
    <w:rsid w:val="00D16ED2"/>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80">
    <w:name w:val="xl80"/>
    <w:basedOn w:val="Normal"/>
    <w:uiPriority w:val="99"/>
    <w:rsid w:val="00D16ED2"/>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81">
    <w:name w:val="xl81"/>
    <w:basedOn w:val="Normal"/>
    <w:uiPriority w:val="99"/>
    <w:rsid w:val="00D16ED2"/>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82">
    <w:name w:val="xl82"/>
    <w:basedOn w:val="Normal"/>
    <w:uiPriority w:val="99"/>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3">
    <w:name w:val="xl83"/>
    <w:basedOn w:val="Normal"/>
    <w:uiPriority w:val="99"/>
    <w:rsid w:val="00D16ED2"/>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4">
    <w:name w:val="xl84"/>
    <w:basedOn w:val="Normal"/>
    <w:uiPriority w:val="99"/>
    <w:rsid w:val="00D16ED2"/>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5">
    <w:name w:val="xl85"/>
    <w:basedOn w:val="Normal"/>
    <w:uiPriority w:val="99"/>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6">
    <w:name w:val="xl86"/>
    <w:basedOn w:val="Normal"/>
    <w:uiPriority w:val="99"/>
    <w:rsid w:val="00D16ED2"/>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7">
    <w:name w:val="xl87"/>
    <w:basedOn w:val="Normal"/>
    <w:uiPriority w:val="99"/>
    <w:rsid w:val="00D16ED2"/>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8">
    <w:name w:val="xl88"/>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89">
    <w:name w:val="xl89"/>
    <w:basedOn w:val="Normal"/>
    <w:uiPriority w:val="99"/>
    <w:rsid w:val="00D16ED2"/>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0">
    <w:name w:val="xl90"/>
    <w:basedOn w:val="Normal"/>
    <w:uiPriority w:val="99"/>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1">
    <w:name w:val="xl91"/>
    <w:basedOn w:val="Normal"/>
    <w:uiPriority w:val="99"/>
    <w:rsid w:val="00D16ED2"/>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2">
    <w:name w:val="xl92"/>
    <w:basedOn w:val="Normal"/>
    <w:uiPriority w:val="99"/>
    <w:rsid w:val="00D16ED2"/>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3">
    <w:name w:val="xl93"/>
    <w:basedOn w:val="Normal"/>
    <w:uiPriority w:val="99"/>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4">
    <w:name w:val="xl94"/>
    <w:basedOn w:val="Normal"/>
    <w:uiPriority w:val="99"/>
    <w:rsid w:val="00D16ED2"/>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5">
    <w:name w:val="xl95"/>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6">
    <w:name w:val="xl96"/>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7">
    <w:name w:val="xl97"/>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8">
    <w:name w:val="xl98"/>
    <w:basedOn w:val="Normal"/>
    <w:uiPriority w:val="99"/>
    <w:rsid w:val="00D16ED2"/>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9">
    <w:name w:val="xl99"/>
    <w:basedOn w:val="Normal"/>
    <w:uiPriority w:val="99"/>
    <w:rsid w:val="00D16ED2"/>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0">
    <w:name w:val="xl100"/>
    <w:basedOn w:val="Normal"/>
    <w:uiPriority w:val="99"/>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1">
    <w:name w:val="xl101"/>
    <w:basedOn w:val="Normal"/>
    <w:uiPriority w:val="99"/>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2">
    <w:name w:val="xl102"/>
    <w:basedOn w:val="Normal"/>
    <w:uiPriority w:val="99"/>
    <w:rsid w:val="00D16ED2"/>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3">
    <w:name w:val="xl103"/>
    <w:basedOn w:val="Normal"/>
    <w:uiPriority w:val="99"/>
    <w:rsid w:val="00D16ED2"/>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4">
    <w:name w:val="xl104"/>
    <w:basedOn w:val="Normal"/>
    <w:uiPriority w:val="99"/>
    <w:rsid w:val="00D16ED2"/>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5">
    <w:name w:val="xl105"/>
    <w:basedOn w:val="Normal"/>
    <w:uiPriority w:val="99"/>
    <w:rsid w:val="00D16ED2"/>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6">
    <w:name w:val="xl106"/>
    <w:basedOn w:val="Normal"/>
    <w:uiPriority w:val="99"/>
    <w:rsid w:val="00D16ED2"/>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07">
    <w:name w:val="xl107"/>
    <w:basedOn w:val="Normal"/>
    <w:uiPriority w:val="99"/>
    <w:rsid w:val="00D16ED2"/>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8">
    <w:name w:val="xl108"/>
    <w:basedOn w:val="Normal"/>
    <w:uiPriority w:val="99"/>
    <w:rsid w:val="00D16ED2"/>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9">
    <w:name w:val="xl109"/>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110">
    <w:name w:val="xl110"/>
    <w:basedOn w:val="Normal"/>
    <w:uiPriority w:val="99"/>
    <w:rsid w:val="00D16ED2"/>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11">
    <w:name w:val="xl111"/>
    <w:basedOn w:val="Normal"/>
    <w:uiPriority w:val="99"/>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2">
    <w:name w:val="xl112"/>
    <w:basedOn w:val="Normal"/>
    <w:uiPriority w:val="99"/>
    <w:rsid w:val="00D16ED2"/>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3">
    <w:name w:val="xl113"/>
    <w:basedOn w:val="Normal"/>
    <w:uiPriority w:val="99"/>
    <w:rsid w:val="00D16ED2"/>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4">
    <w:name w:val="xl114"/>
    <w:basedOn w:val="Normal"/>
    <w:uiPriority w:val="99"/>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5">
    <w:name w:val="xl115"/>
    <w:basedOn w:val="Normal"/>
    <w:uiPriority w:val="99"/>
    <w:rsid w:val="00D16ED2"/>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6">
    <w:name w:val="xl116"/>
    <w:basedOn w:val="Normal"/>
    <w:uiPriority w:val="99"/>
    <w:rsid w:val="00D16ED2"/>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7">
    <w:name w:val="xl117"/>
    <w:basedOn w:val="Normal"/>
    <w:uiPriority w:val="99"/>
    <w:rsid w:val="00D16ED2"/>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8">
    <w:name w:val="xl118"/>
    <w:basedOn w:val="Normal"/>
    <w:uiPriority w:val="99"/>
    <w:rsid w:val="00D16ED2"/>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9">
    <w:name w:val="xl119"/>
    <w:basedOn w:val="Normal"/>
    <w:uiPriority w:val="99"/>
    <w:rsid w:val="00D16ED2"/>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20">
    <w:name w:val="xl120"/>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1">
    <w:name w:val="xl121"/>
    <w:basedOn w:val="Normal"/>
    <w:uiPriority w:val="99"/>
    <w:rsid w:val="00D16ED2"/>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2">
    <w:name w:val="xl122"/>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65">
    <w:name w:val="xl65"/>
    <w:basedOn w:val="Normal"/>
    <w:uiPriority w:val="99"/>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6">
    <w:name w:val="xl66"/>
    <w:basedOn w:val="Normal"/>
    <w:uiPriority w:val="99"/>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character" w:customStyle="1" w:styleId="NichtaufgelsteErwhnung1">
    <w:name w:val="Nicht aufgelöste Erwähnung1"/>
    <w:basedOn w:val="DefaultParagraphFont"/>
    <w:uiPriority w:val="99"/>
    <w:semiHidden/>
    <w:rsid w:val="0053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07">
      <w:bodyDiv w:val="1"/>
      <w:marLeft w:val="0"/>
      <w:marRight w:val="0"/>
      <w:marTop w:val="0"/>
      <w:marBottom w:val="0"/>
      <w:divBdr>
        <w:top w:val="none" w:sz="0" w:space="0" w:color="auto"/>
        <w:left w:val="none" w:sz="0" w:space="0" w:color="auto"/>
        <w:bottom w:val="none" w:sz="0" w:space="0" w:color="auto"/>
        <w:right w:val="none" w:sz="0" w:space="0" w:color="auto"/>
      </w:divBdr>
    </w:div>
    <w:div w:id="87850929">
      <w:bodyDiv w:val="1"/>
      <w:marLeft w:val="0"/>
      <w:marRight w:val="0"/>
      <w:marTop w:val="0"/>
      <w:marBottom w:val="0"/>
      <w:divBdr>
        <w:top w:val="none" w:sz="0" w:space="0" w:color="auto"/>
        <w:left w:val="none" w:sz="0" w:space="0" w:color="auto"/>
        <w:bottom w:val="none" w:sz="0" w:space="0" w:color="auto"/>
        <w:right w:val="none" w:sz="0" w:space="0" w:color="auto"/>
      </w:divBdr>
    </w:div>
    <w:div w:id="130757792">
      <w:bodyDiv w:val="1"/>
      <w:marLeft w:val="0"/>
      <w:marRight w:val="0"/>
      <w:marTop w:val="0"/>
      <w:marBottom w:val="0"/>
      <w:divBdr>
        <w:top w:val="none" w:sz="0" w:space="0" w:color="auto"/>
        <w:left w:val="none" w:sz="0" w:space="0" w:color="auto"/>
        <w:bottom w:val="none" w:sz="0" w:space="0" w:color="auto"/>
        <w:right w:val="none" w:sz="0" w:space="0" w:color="auto"/>
      </w:divBdr>
    </w:div>
    <w:div w:id="191578421">
      <w:bodyDiv w:val="1"/>
      <w:marLeft w:val="0"/>
      <w:marRight w:val="0"/>
      <w:marTop w:val="0"/>
      <w:marBottom w:val="0"/>
      <w:divBdr>
        <w:top w:val="none" w:sz="0" w:space="0" w:color="auto"/>
        <w:left w:val="none" w:sz="0" w:space="0" w:color="auto"/>
        <w:bottom w:val="none" w:sz="0" w:space="0" w:color="auto"/>
        <w:right w:val="none" w:sz="0" w:space="0" w:color="auto"/>
      </w:divBdr>
    </w:div>
    <w:div w:id="640841733">
      <w:bodyDiv w:val="1"/>
      <w:marLeft w:val="0"/>
      <w:marRight w:val="0"/>
      <w:marTop w:val="0"/>
      <w:marBottom w:val="0"/>
      <w:divBdr>
        <w:top w:val="none" w:sz="0" w:space="0" w:color="auto"/>
        <w:left w:val="none" w:sz="0" w:space="0" w:color="auto"/>
        <w:bottom w:val="none" w:sz="0" w:space="0" w:color="auto"/>
        <w:right w:val="none" w:sz="0" w:space="0" w:color="auto"/>
      </w:divBdr>
    </w:div>
    <w:div w:id="651562525">
      <w:bodyDiv w:val="1"/>
      <w:marLeft w:val="0"/>
      <w:marRight w:val="0"/>
      <w:marTop w:val="0"/>
      <w:marBottom w:val="0"/>
      <w:divBdr>
        <w:top w:val="none" w:sz="0" w:space="0" w:color="auto"/>
        <w:left w:val="none" w:sz="0" w:space="0" w:color="auto"/>
        <w:bottom w:val="none" w:sz="0" w:space="0" w:color="auto"/>
        <w:right w:val="none" w:sz="0" w:space="0" w:color="auto"/>
      </w:divBdr>
    </w:div>
    <w:div w:id="659578273">
      <w:bodyDiv w:val="1"/>
      <w:marLeft w:val="0"/>
      <w:marRight w:val="0"/>
      <w:marTop w:val="0"/>
      <w:marBottom w:val="0"/>
      <w:divBdr>
        <w:top w:val="none" w:sz="0" w:space="0" w:color="auto"/>
        <w:left w:val="none" w:sz="0" w:space="0" w:color="auto"/>
        <w:bottom w:val="none" w:sz="0" w:space="0" w:color="auto"/>
        <w:right w:val="none" w:sz="0" w:space="0" w:color="auto"/>
      </w:divBdr>
    </w:div>
    <w:div w:id="686445972">
      <w:bodyDiv w:val="1"/>
      <w:marLeft w:val="0"/>
      <w:marRight w:val="0"/>
      <w:marTop w:val="0"/>
      <w:marBottom w:val="0"/>
      <w:divBdr>
        <w:top w:val="none" w:sz="0" w:space="0" w:color="auto"/>
        <w:left w:val="none" w:sz="0" w:space="0" w:color="auto"/>
        <w:bottom w:val="none" w:sz="0" w:space="0" w:color="auto"/>
        <w:right w:val="none" w:sz="0" w:space="0" w:color="auto"/>
      </w:divBdr>
    </w:div>
    <w:div w:id="707995197">
      <w:bodyDiv w:val="1"/>
      <w:marLeft w:val="0"/>
      <w:marRight w:val="0"/>
      <w:marTop w:val="0"/>
      <w:marBottom w:val="0"/>
      <w:divBdr>
        <w:top w:val="none" w:sz="0" w:space="0" w:color="auto"/>
        <w:left w:val="none" w:sz="0" w:space="0" w:color="auto"/>
        <w:bottom w:val="none" w:sz="0" w:space="0" w:color="auto"/>
        <w:right w:val="none" w:sz="0" w:space="0" w:color="auto"/>
      </w:divBdr>
    </w:div>
    <w:div w:id="863057028">
      <w:bodyDiv w:val="1"/>
      <w:marLeft w:val="0"/>
      <w:marRight w:val="0"/>
      <w:marTop w:val="0"/>
      <w:marBottom w:val="0"/>
      <w:divBdr>
        <w:top w:val="none" w:sz="0" w:space="0" w:color="auto"/>
        <w:left w:val="none" w:sz="0" w:space="0" w:color="auto"/>
        <w:bottom w:val="none" w:sz="0" w:space="0" w:color="auto"/>
        <w:right w:val="none" w:sz="0" w:space="0" w:color="auto"/>
      </w:divBdr>
    </w:div>
    <w:div w:id="981302867">
      <w:bodyDiv w:val="1"/>
      <w:marLeft w:val="0"/>
      <w:marRight w:val="0"/>
      <w:marTop w:val="0"/>
      <w:marBottom w:val="0"/>
      <w:divBdr>
        <w:top w:val="none" w:sz="0" w:space="0" w:color="auto"/>
        <w:left w:val="none" w:sz="0" w:space="0" w:color="auto"/>
        <w:bottom w:val="none" w:sz="0" w:space="0" w:color="auto"/>
        <w:right w:val="none" w:sz="0" w:space="0" w:color="auto"/>
      </w:divBdr>
    </w:div>
    <w:div w:id="1220168988">
      <w:bodyDiv w:val="1"/>
      <w:marLeft w:val="0"/>
      <w:marRight w:val="0"/>
      <w:marTop w:val="0"/>
      <w:marBottom w:val="0"/>
      <w:divBdr>
        <w:top w:val="none" w:sz="0" w:space="0" w:color="auto"/>
        <w:left w:val="none" w:sz="0" w:space="0" w:color="auto"/>
        <w:bottom w:val="none" w:sz="0" w:space="0" w:color="auto"/>
        <w:right w:val="none" w:sz="0" w:space="0" w:color="auto"/>
      </w:divBdr>
    </w:div>
    <w:div w:id="1269116016">
      <w:bodyDiv w:val="1"/>
      <w:marLeft w:val="0"/>
      <w:marRight w:val="0"/>
      <w:marTop w:val="0"/>
      <w:marBottom w:val="0"/>
      <w:divBdr>
        <w:top w:val="none" w:sz="0" w:space="0" w:color="auto"/>
        <w:left w:val="none" w:sz="0" w:space="0" w:color="auto"/>
        <w:bottom w:val="none" w:sz="0" w:space="0" w:color="auto"/>
        <w:right w:val="none" w:sz="0" w:space="0" w:color="auto"/>
      </w:divBdr>
    </w:div>
    <w:div w:id="1330402365">
      <w:bodyDiv w:val="1"/>
      <w:marLeft w:val="0"/>
      <w:marRight w:val="0"/>
      <w:marTop w:val="0"/>
      <w:marBottom w:val="0"/>
      <w:divBdr>
        <w:top w:val="none" w:sz="0" w:space="0" w:color="auto"/>
        <w:left w:val="none" w:sz="0" w:space="0" w:color="auto"/>
        <w:bottom w:val="none" w:sz="0" w:space="0" w:color="auto"/>
        <w:right w:val="none" w:sz="0" w:space="0" w:color="auto"/>
      </w:divBdr>
    </w:div>
    <w:div w:id="1518276679">
      <w:bodyDiv w:val="1"/>
      <w:marLeft w:val="0"/>
      <w:marRight w:val="0"/>
      <w:marTop w:val="0"/>
      <w:marBottom w:val="0"/>
      <w:divBdr>
        <w:top w:val="none" w:sz="0" w:space="0" w:color="auto"/>
        <w:left w:val="none" w:sz="0" w:space="0" w:color="auto"/>
        <w:bottom w:val="none" w:sz="0" w:space="0" w:color="auto"/>
        <w:right w:val="none" w:sz="0" w:space="0" w:color="auto"/>
      </w:divBdr>
    </w:div>
    <w:div w:id="1544908431">
      <w:bodyDiv w:val="1"/>
      <w:marLeft w:val="0"/>
      <w:marRight w:val="0"/>
      <w:marTop w:val="0"/>
      <w:marBottom w:val="0"/>
      <w:divBdr>
        <w:top w:val="none" w:sz="0" w:space="0" w:color="auto"/>
        <w:left w:val="none" w:sz="0" w:space="0" w:color="auto"/>
        <w:bottom w:val="none" w:sz="0" w:space="0" w:color="auto"/>
        <w:right w:val="none" w:sz="0" w:space="0" w:color="auto"/>
      </w:divBdr>
    </w:div>
    <w:div w:id="1579166359">
      <w:bodyDiv w:val="1"/>
      <w:marLeft w:val="0"/>
      <w:marRight w:val="0"/>
      <w:marTop w:val="0"/>
      <w:marBottom w:val="0"/>
      <w:divBdr>
        <w:top w:val="none" w:sz="0" w:space="0" w:color="auto"/>
        <w:left w:val="none" w:sz="0" w:space="0" w:color="auto"/>
        <w:bottom w:val="none" w:sz="0" w:space="0" w:color="auto"/>
        <w:right w:val="none" w:sz="0" w:space="0" w:color="auto"/>
      </w:divBdr>
    </w:div>
    <w:div w:id="1631130462">
      <w:bodyDiv w:val="1"/>
      <w:marLeft w:val="0"/>
      <w:marRight w:val="0"/>
      <w:marTop w:val="0"/>
      <w:marBottom w:val="0"/>
      <w:divBdr>
        <w:top w:val="none" w:sz="0" w:space="0" w:color="auto"/>
        <w:left w:val="none" w:sz="0" w:space="0" w:color="auto"/>
        <w:bottom w:val="none" w:sz="0" w:space="0" w:color="auto"/>
        <w:right w:val="none" w:sz="0" w:space="0" w:color="auto"/>
      </w:divBdr>
    </w:div>
    <w:div w:id="17185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192.168.102.2\data%20Brussel\Febeltex\Economisch\Thema\Economie\Economische%20en%20industi&#235;le%20statistieken\subsectoren\Grafiek%20meubelhandel8202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Meubelindustrie</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lstStyle/>
                <a:p>
                  <a:pPr>
                    <a:defRPr sz="1000" b="1" i="0" u="none" strike="noStrike" kern="1200" baseline="0">
                      <a:solidFill>
                        <a:schemeClr val="accent2">
                          <a:lumMod val="50000"/>
                        </a:schemeClr>
                      </a:solidFill>
                      <a:latin typeface="+mn-lt"/>
                      <a:ea typeface="+mn-ea"/>
                      <a:cs typeface="+mn-cs"/>
                    </a:defRPr>
                  </a:pPr>
                  <a:endParaRPr lang="nl-BE"/>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3CCC-4469-A5EC-89CBDAAEA17A}"/>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CC-4469-A5EC-89CBDAAEA17A}"/>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CC-4469-A5EC-89CBDAAEA17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Feuil1!$B$1:$S$1</c:f>
              <c:strCache>
                <c:ptCount val="18"/>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6 m 2022</c:v>
                </c:pt>
              </c:strCache>
            </c:strRef>
          </c:cat>
          <c:val>
            <c:numRef>
              <c:f>Feuil1!$B$3:$S$3</c:f>
              <c:numCache>
                <c:formatCode>0.0\ </c:formatCode>
                <c:ptCount val="18"/>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2.9</c:v>
                </c:pt>
              </c:numCache>
            </c:numRef>
          </c:val>
          <c:extLst>
            <c:ext xmlns:c16="http://schemas.microsoft.com/office/drawing/2014/chart" uri="{C3380CC4-5D6E-409C-BE32-E72D297353CC}">
              <c16:uniqueId val="{00000003-3CCC-4469-A5EC-89CBDAAEA17A}"/>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BE"/>
          </a:p>
        </c:txPr>
        <c:crossAx val="716665120"/>
        <c:crosses val="autoZero"/>
        <c:auto val="1"/>
        <c:lblAlgn val="ctr"/>
        <c:lblOffset val="100"/>
        <c:noMultiLvlLbl val="0"/>
      </c:catAx>
      <c:valAx>
        <c:axId val="716665120"/>
        <c:scaling>
          <c:orientation val="minMax"/>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B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ln>
          </c:spPr>
          <c:marker>
            <c:symbol val="none"/>
          </c:marker>
          <c:dLbls>
            <c:numFmt formatCode="#,##0.0" sourceLinked="0"/>
            <c:spPr>
              <a:noFill/>
              <a:ln>
                <a:noFill/>
              </a:ln>
              <a:effectLst/>
            </c:spPr>
            <c:txPr>
              <a:bodyPr wrap="square" lIns="38100" tIns="19050" rIns="38100" bIns="19050" anchor="ctr">
                <a:spAutoFit/>
              </a:bodyPr>
              <a:lstStyle/>
              <a:p>
                <a:pPr>
                  <a:defRPr sz="8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PRODKAP!$A$54:$A$85</c:f>
              <c:strCache>
                <c:ptCount val="32"/>
                <c:pt idx="0">
                  <c:v>III/14</c:v>
                </c:pt>
                <c:pt idx="1">
                  <c:v>IV/14</c:v>
                </c:pt>
                <c:pt idx="2">
                  <c:v>I/15</c:v>
                </c:pt>
                <c:pt idx="3">
                  <c:v>II/15</c:v>
                </c:pt>
                <c:pt idx="4">
                  <c:v>III/15</c:v>
                </c:pt>
                <c:pt idx="5">
                  <c:v>IV/15</c:v>
                </c:pt>
                <c:pt idx="6">
                  <c:v>I/16</c:v>
                </c:pt>
                <c:pt idx="7">
                  <c:v>II/16</c:v>
                </c:pt>
                <c:pt idx="8">
                  <c:v>III/16</c:v>
                </c:pt>
                <c:pt idx="9">
                  <c:v>IV/16</c:v>
                </c:pt>
                <c:pt idx="10">
                  <c:v>I/17</c:v>
                </c:pt>
                <c:pt idx="11">
                  <c:v>II/17</c:v>
                </c:pt>
                <c:pt idx="12">
                  <c:v>III/17</c:v>
                </c:pt>
                <c:pt idx="13">
                  <c:v>IV/17</c:v>
                </c:pt>
                <c:pt idx="14">
                  <c:v>I/18</c:v>
                </c:pt>
                <c:pt idx="15">
                  <c:v>II/18</c:v>
                </c:pt>
                <c:pt idx="16">
                  <c:v>III/18</c:v>
                </c:pt>
                <c:pt idx="17">
                  <c:v>IV/18</c:v>
                </c:pt>
                <c:pt idx="18">
                  <c:v>I/19</c:v>
                </c:pt>
                <c:pt idx="19">
                  <c:v>II/19</c:v>
                </c:pt>
                <c:pt idx="20">
                  <c:v>III/19</c:v>
                </c:pt>
                <c:pt idx="21">
                  <c:v>IV/19</c:v>
                </c:pt>
                <c:pt idx="22">
                  <c:v>I/20</c:v>
                </c:pt>
                <c:pt idx="23">
                  <c:v>II/20</c:v>
                </c:pt>
                <c:pt idx="24">
                  <c:v>III/20</c:v>
                </c:pt>
                <c:pt idx="25">
                  <c:v>IV/20</c:v>
                </c:pt>
                <c:pt idx="26">
                  <c:v>I/21</c:v>
                </c:pt>
                <c:pt idx="27">
                  <c:v>II/21</c:v>
                </c:pt>
                <c:pt idx="28">
                  <c:v>III/21</c:v>
                </c:pt>
                <c:pt idx="29">
                  <c:v>IV/21</c:v>
                </c:pt>
                <c:pt idx="30">
                  <c:v>I/22</c:v>
                </c:pt>
                <c:pt idx="31">
                  <c:v>II/22</c:v>
                </c:pt>
              </c:strCache>
            </c:strRef>
          </c:cat>
          <c:val>
            <c:numRef>
              <c:f>PRODKAP!$B$54:$B$85</c:f>
              <c:numCache>
                <c:formatCode>0.0</c:formatCode>
                <c:ptCount val="32"/>
                <c:pt idx="0">
                  <c:v>76.430000000000007</c:v>
                </c:pt>
                <c:pt idx="1">
                  <c:v>76.790000000000006</c:v>
                </c:pt>
                <c:pt idx="2">
                  <c:v>79.900000000000006</c:v>
                </c:pt>
                <c:pt idx="3">
                  <c:v>80.7</c:v>
                </c:pt>
                <c:pt idx="4">
                  <c:v>82.5</c:v>
                </c:pt>
                <c:pt idx="5">
                  <c:v>82.88</c:v>
                </c:pt>
                <c:pt idx="6">
                  <c:v>81.2</c:v>
                </c:pt>
                <c:pt idx="7">
                  <c:v>80.099999999999994</c:v>
                </c:pt>
                <c:pt idx="8">
                  <c:v>80.8</c:v>
                </c:pt>
                <c:pt idx="9">
                  <c:v>80.3</c:v>
                </c:pt>
                <c:pt idx="10" formatCode="0.00">
                  <c:v>82.5</c:v>
                </c:pt>
                <c:pt idx="11" formatCode="0.00">
                  <c:v>80.3</c:v>
                </c:pt>
                <c:pt idx="12" formatCode="0.00">
                  <c:v>79</c:v>
                </c:pt>
                <c:pt idx="13" formatCode="0.00">
                  <c:v>75</c:v>
                </c:pt>
                <c:pt idx="14" formatCode="0.00">
                  <c:v>80.900000000000006</c:v>
                </c:pt>
                <c:pt idx="15" formatCode="0.00">
                  <c:v>79.900000000000006</c:v>
                </c:pt>
                <c:pt idx="16" formatCode="0.00">
                  <c:v>82</c:v>
                </c:pt>
                <c:pt idx="17" formatCode="0.00">
                  <c:v>81.5</c:v>
                </c:pt>
                <c:pt idx="18" formatCode="0.00">
                  <c:v>79</c:v>
                </c:pt>
                <c:pt idx="19" formatCode="0.00">
                  <c:v>80.7</c:v>
                </c:pt>
                <c:pt idx="20" formatCode="0.00">
                  <c:v>81.5</c:v>
                </c:pt>
                <c:pt idx="21" formatCode="0.00">
                  <c:v>83.2</c:v>
                </c:pt>
                <c:pt idx="22" formatCode="0.00">
                  <c:v>82</c:v>
                </c:pt>
                <c:pt idx="23" formatCode="0.00">
                  <c:v>84</c:v>
                </c:pt>
                <c:pt idx="24" formatCode="0.00">
                  <c:v>86</c:v>
                </c:pt>
                <c:pt idx="25" formatCode="0.00">
                  <c:v>83.3</c:v>
                </c:pt>
                <c:pt idx="26" formatCode="0.00">
                  <c:v>86.5</c:v>
                </c:pt>
                <c:pt idx="27" formatCode="0.00">
                  <c:v>87.5</c:v>
                </c:pt>
                <c:pt idx="28" formatCode="0.00">
                  <c:v>85.9</c:v>
                </c:pt>
                <c:pt idx="29" formatCode="0.00">
                  <c:v>86.2</c:v>
                </c:pt>
                <c:pt idx="30" formatCode="0.00">
                  <c:v>83.4</c:v>
                </c:pt>
                <c:pt idx="31" formatCode="0.00">
                  <c:v>89</c:v>
                </c:pt>
              </c:numCache>
            </c:numRef>
          </c:val>
          <c:smooth val="0"/>
          <c:extLst>
            <c:ext xmlns:c16="http://schemas.microsoft.com/office/drawing/2014/chart" uri="{C3380CC4-5D6E-409C-BE32-E72D297353CC}">
              <c16:uniqueId val="{00000000-B592-4D0E-9732-68BDAACA2201}"/>
            </c:ext>
          </c:extLst>
        </c:ser>
        <c:dLbls>
          <c:dLblPos val="t"/>
          <c:showLegendKey val="0"/>
          <c:showVal val="1"/>
          <c:showCatName val="0"/>
          <c:showSerName val="0"/>
          <c:showPercent val="0"/>
          <c:showBubbleSize val="0"/>
        </c:dLbls>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ln>
        </c:spPr>
        <c:txPr>
          <a:bodyPr rot="0" vert="horz"/>
          <a:lstStyle/>
          <a:p>
            <a:pPr>
              <a:defRPr sz="500"/>
            </a:pPr>
            <a:endParaRPr lang="nl-BE"/>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ln>
        </c:spPr>
        <c:txPr>
          <a:bodyPr rot="0" vert="horz"/>
          <a:lstStyle/>
          <a:p>
            <a:pPr>
              <a:defRPr/>
            </a:pPr>
            <a:endParaRPr lang="nl-BE"/>
          </a:p>
        </c:txPr>
        <c:crossAx val="301009920"/>
        <c:crosses val="autoZero"/>
        <c:crossBetween val="between"/>
      </c:valAx>
      <c:spPr>
        <a:noFill/>
        <a:ln w="1963">
          <a:solidFill>
            <a:srgbClr val="000000"/>
          </a:solidFill>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nl-B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7624671916011"/>
          <c:y val="6.5364875228600086E-2"/>
          <c:w val="0.89872371780879601"/>
          <c:h val="0.92314044193763889"/>
        </c:manualLayout>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Blad1!$A$18:$A$37</c:f>
              <c:strCache>
                <c:ptCount val="20"/>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strCache>
            </c:strRef>
          </c:cat>
          <c:val>
            <c:numRef>
              <c:f>Blad1!$B$18:$B$37</c:f>
              <c:numCache>
                <c:formatCode>0.0</c:formatCode>
                <c:ptCount val="20"/>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numCache>
            </c:numRef>
          </c:val>
          <c:extLst>
            <c:ext xmlns:c16="http://schemas.microsoft.com/office/drawing/2014/chart" uri="{C3380CC4-5D6E-409C-BE32-E72D297353CC}">
              <c16:uniqueId val="{00000000-B767-4145-8C62-787CDEF7C420}"/>
            </c:ext>
          </c:extLst>
        </c:ser>
        <c:dLbls>
          <c:dLblPos val="outEnd"/>
          <c:showLegendKey val="0"/>
          <c:showVal val="1"/>
          <c:showCatName val="0"/>
          <c:showSerName val="0"/>
          <c:showPercent val="0"/>
          <c:showBubbleSize val="0"/>
        </c:dLbls>
        <c:gapWidth val="219"/>
        <c:overlap val="-27"/>
        <c:axId val="446140000"/>
        <c:axId val="446136720"/>
      </c:barChart>
      <c:catAx>
        <c:axId val="446140000"/>
        <c:scaling>
          <c:orientation val="minMax"/>
        </c:scaling>
        <c:delete val="0"/>
        <c:axPos val="b"/>
        <c:numFmt formatCode="General" sourceLinked="1"/>
        <c:majorTickMark val="out"/>
        <c:minorTickMark val="none"/>
        <c:tickLblPos val="low"/>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6136720"/>
        <c:crosses val="autoZero"/>
        <c:auto val="1"/>
        <c:lblAlgn val="ctr"/>
        <c:lblOffset val="100"/>
        <c:noMultiLvlLbl val="0"/>
      </c:catAx>
      <c:valAx>
        <c:axId val="446136720"/>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BE"/>
                  <a:t>in</a:t>
                </a:r>
                <a:r>
                  <a:rPr lang="nl-BE" baseline="0"/>
                  <a:t> %</a:t>
                </a:r>
                <a:endParaRPr lang="nl-B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614000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733827621"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p>
      </cdr:txBody>
    </cdr:sp>
  </cdr:relSizeAnchor>
  <cdr:relSizeAnchor xmlns:cdr="http://schemas.openxmlformats.org/drawingml/2006/chartDrawing">
    <cdr:from>
      <cdr:x>0</cdr:x>
      <cdr:y>0.00365</cdr:y>
    </cdr:from>
    <cdr:to>
      <cdr:x>0.06338</cdr:x>
      <cdr:y>0.09658</cdr:y>
    </cdr:to>
    <cdr:sp macro="" textlink="">
      <cdr:nvSpPr>
        <cdr:cNvPr id="1018574602"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buClrTx/>
            <a:buSzTx/>
            <a:buFontTx/>
            <a:buNone/>
            <a:defRPr/>
          </a:pPr>
          <a:r>
            <a:rPr kumimoji="0" lang="fr-BE" sz="800" b="1" i="0" u="none" strike="noStrike" kern="1200" cap="none" spc="0" normalizeH="0" baseline="0" noProof="0" dirty="0">
              <a:ln>
                <a:noFill/>
              </a:ln>
              <a:solidFill>
                <a:prstClr val="black"/>
              </a:solidFill>
              <a:effectLst/>
              <a:uLnTx/>
              <a:uFillTx/>
              <a:latin typeface="Calibri" panose="020F0502020204030204"/>
              <a:ea typeface="+mn-ea"/>
              <a:cs typeface="+mn-cs"/>
            </a:rPr>
            <a:t>In %</a:t>
          </a:r>
        </a:p>
      </cdr:txBody>
    </cdr:sp>
  </cdr:relSizeAnchor>
  <cdr:relSizeAnchor xmlns:cdr="http://schemas.openxmlformats.org/drawingml/2006/chartDrawing">
    <cdr:from>
      <cdr:x>0</cdr:x>
      <cdr:y>0</cdr:y>
    </cdr:from>
    <cdr:to>
      <cdr:x>1</cdr:x>
      <cdr:y>0.1137</cdr:y>
    </cdr:to>
    <cdr:sp macro="" textlink="">
      <cdr:nvSpPr>
        <cdr:cNvPr id="138586067"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buClrTx/>
            <a:buSzTx/>
            <a:buFontTx/>
            <a:buNone/>
            <a:defRPr/>
          </a:pP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Umsatzwachstum in der belgischen Möbelindustrie</a:t>
          </a:r>
          <a:endParaRPr kumimoji="0" lang="nl-BE" sz="1200" b="1" i="0" u="none" strike="noStrike" kern="1200" cap="none" spc="0" normalizeH="0" baseline="0" noProof="0" dirty="0">
            <a:ln>
              <a:noFill/>
            </a:ln>
            <a:solidFill>
              <a:srgbClr val="3E3F2C"/>
            </a:solidFill>
            <a:effectLst/>
            <a:uLnTx/>
            <a:uFillTx/>
            <a:latin typeface="Calibri" panose="020F0502020204030204"/>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6045-BABE-45CA-AE73-47B0AA63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4339</Words>
  <Characters>23865</Characters>
  <Application>Microsoft Office Word</Application>
  <DocSecurity>0</DocSecurity>
  <Lines>198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Thomas Hibert</cp:lastModifiedBy>
  <cp:revision>13</cp:revision>
  <cp:lastPrinted>2022-11-03T12:11:00Z</cp:lastPrinted>
  <dcterms:created xsi:type="dcterms:W3CDTF">2022-11-05T09:02:00Z</dcterms:created>
  <dcterms:modified xsi:type="dcterms:W3CDTF">2022-11-06T22:10:00Z</dcterms:modified>
</cp:coreProperties>
</file>